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79D40" w14:textId="3ABA7768" w:rsidR="0048666A" w:rsidRDefault="0048666A" w:rsidP="0048666A">
      <w:pPr>
        <w:pStyle w:val="NoSpacing"/>
        <w:jc w:val="center"/>
        <w:rPr>
          <w:rFonts w:ascii="Cambria" w:hAnsi="Cambria"/>
          <w:noProof/>
          <w:sz w:val="24"/>
          <w:szCs w:val="24"/>
        </w:rPr>
      </w:pPr>
      <w:r w:rsidRPr="0066560D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B32541" wp14:editId="31C12486">
            <wp:simplePos x="0" y="0"/>
            <wp:positionH relativeFrom="margin">
              <wp:posOffset>1478280</wp:posOffset>
            </wp:positionH>
            <wp:positionV relativeFrom="paragraph">
              <wp:posOffset>3810</wp:posOffset>
            </wp:positionV>
            <wp:extent cx="2981325" cy="1661160"/>
            <wp:effectExtent l="0" t="0" r="9525" b="0"/>
            <wp:wrapThrough wrapText="bothSides">
              <wp:wrapPolygon edited="0">
                <wp:start x="0" y="0"/>
                <wp:lineTo x="0" y="21303"/>
                <wp:lineTo x="21531" y="21303"/>
                <wp:lineTo x="21531" y="0"/>
                <wp:lineTo x="0" y="0"/>
              </wp:wrapPolygon>
            </wp:wrapThrough>
            <wp:docPr id="3" name="Picture 2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491FE99-6B19-4CAD-B6F0-FA0A81444F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7491FE99-6B19-4CAD-B6F0-FA0A81444F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9" b="19295"/>
                    <a:stretch/>
                  </pic:blipFill>
                  <pic:spPr bwMode="auto">
                    <a:xfrm>
                      <a:off x="0" y="0"/>
                      <a:ext cx="2981325" cy="166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2B62A" w14:textId="77777777" w:rsidR="0048666A" w:rsidRDefault="0048666A" w:rsidP="0048666A">
      <w:pPr>
        <w:pStyle w:val="NoSpacing"/>
        <w:jc w:val="center"/>
        <w:rPr>
          <w:rFonts w:ascii="Cambria" w:hAnsi="Cambria"/>
          <w:noProof/>
          <w:sz w:val="24"/>
          <w:szCs w:val="24"/>
        </w:rPr>
      </w:pPr>
    </w:p>
    <w:p w14:paraId="6CD36A73" w14:textId="00438E65" w:rsidR="0048666A" w:rsidRDefault="0048666A" w:rsidP="0048666A">
      <w:pPr>
        <w:pStyle w:val="NoSpacing"/>
        <w:jc w:val="center"/>
        <w:rPr>
          <w:rFonts w:ascii="Cambria" w:hAnsi="Cambria"/>
          <w:color w:val="11202A"/>
          <w:sz w:val="24"/>
          <w:szCs w:val="24"/>
        </w:rPr>
      </w:pPr>
    </w:p>
    <w:p w14:paraId="0AA6CC2E" w14:textId="77777777" w:rsidR="0048666A" w:rsidRDefault="0048666A" w:rsidP="0048666A">
      <w:pPr>
        <w:pStyle w:val="NoSpacing"/>
        <w:jc w:val="center"/>
        <w:rPr>
          <w:rFonts w:ascii="Cambria" w:hAnsi="Cambria"/>
          <w:color w:val="11202A"/>
          <w:sz w:val="24"/>
          <w:szCs w:val="24"/>
        </w:rPr>
      </w:pPr>
    </w:p>
    <w:p w14:paraId="1298E17B" w14:textId="0427DA7B" w:rsidR="0048666A" w:rsidRDefault="0048666A" w:rsidP="0048666A">
      <w:pPr>
        <w:pStyle w:val="NoSpacing"/>
        <w:jc w:val="center"/>
        <w:rPr>
          <w:rFonts w:ascii="Cambria" w:hAnsi="Cambria"/>
          <w:color w:val="11202A"/>
          <w:sz w:val="24"/>
          <w:szCs w:val="24"/>
        </w:rPr>
      </w:pPr>
    </w:p>
    <w:p w14:paraId="6A046B8A" w14:textId="77777777" w:rsidR="0048666A" w:rsidRDefault="0048666A" w:rsidP="0048666A">
      <w:pPr>
        <w:pStyle w:val="NoSpacing"/>
        <w:jc w:val="center"/>
        <w:rPr>
          <w:rFonts w:ascii="Cambria" w:hAnsi="Cambria"/>
          <w:color w:val="11202A"/>
          <w:sz w:val="24"/>
          <w:szCs w:val="24"/>
        </w:rPr>
      </w:pPr>
    </w:p>
    <w:p w14:paraId="4B2B1337" w14:textId="77777777" w:rsidR="0048666A" w:rsidRDefault="0048666A" w:rsidP="0048666A">
      <w:pPr>
        <w:pStyle w:val="NoSpacing"/>
        <w:jc w:val="center"/>
        <w:rPr>
          <w:rFonts w:ascii="Cambria" w:hAnsi="Cambria"/>
          <w:color w:val="11202A"/>
          <w:sz w:val="24"/>
          <w:szCs w:val="24"/>
        </w:rPr>
      </w:pPr>
    </w:p>
    <w:p w14:paraId="0F011CD0" w14:textId="77777777" w:rsidR="0048666A" w:rsidRDefault="0048666A" w:rsidP="0048666A">
      <w:pPr>
        <w:pStyle w:val="NoSpacing"/>
        <w:jc w:val="center"/>
        <w:rPr>
          <w:rFonts w:ascii="Cambria" w:hAnsi="Cambria"/>
          <w:color w:val="11202A"/>
          <w:sz w:val="24"/>
          <w:szCs w:val="24"/>
        </w:rPr>
      </w:pPr>
    </w:p>
    <w:p w14:paraId="7AE28D75" w14:textId="77777777" w:rsidR="0048666A" w:rsidRDefault="0048666A" w:rsidP="0048666A">
      <w:pPr>
        <w:pStyle w:val="NoSpacing"/>
        <w:jc w:val="center"/>
        <w:rPr>
          <w:rFonts w:ascii="Cambria" w:hAnsi="Cambria"/>
          <w:color w:val="11202A"/>
          <w:sz w:val="24"/>
          <w:szCs w:val="24"/>
        </w:rPr>
      </w:pPr>
    </w:p>
    <w:p w14:paraId="6C412754" w14:textId="77777777" w:rsidR="0048666A" w:rsidRDefault="0048666A" w:rsidP="0048666A">
      <w:pPr>
        <w:pStyle w:val="NoSpacing"/>
        <w:jc w:val="center"/>
        <w:rPr>
          <w:rFonts w:ascii="Cambria" w:hAnsi="Cambria"/>
          <w:color w:val="11202A"/>
          <w:sz w:val="24"/>
          <w:szCs w:val="24"/>
        </w:rPr>
      </w:pPr>
    </w:p>
    <w:p w14:paraId="3C66539F" w14:textId="6E96ACA7" w:rsidR="0048666A" w:rsidRPr="0048666A" w:rsidRDefault="0048666A" w:rsidP="0048666A">
      <w:pPr>
        <w:pStyle w:val="NoSpacing"/>
        <w:rPr>
          <w:rFonts w:ascii="Proxima Nova" w:hAnsi="Proxima Nova"/>
          <w:color w:val="11202A"/>
          <w:sz w:val="24"/>
          <w:szCs w:val="24"/>
        </w:rPr>
      </w:pPr>
      <w:r w:rsidRPr="0048666A">
        <w:rPr>
          <w:rFonts w:ascii="Proxima Nova" w:hAnsi="Proxima Nova"/>
          <w:color w:val="11202A"/>
          <w:sz w:val="24"/>
          <w:szCs w:val="24"/>
        </w:rPr>
        <w:t>Common Courses that are offered each month include:</w:t>
      </w:r>
    </w:p>
    <w:p w14:paraId="4DF98729" w14:textId="77777777" w:rsidR="0048666A" w:rsidRPr="0048666A" w:rsidRDefault="0048666A" w:rsidP="0048666A">
      <w:pPr>
        <w:pStyle w:val="NoSpacing"/>
        <w:jc w:val="center"/>
        <w:rPr>
          <w:rFonts w:ascii="Proxima Nova" w:hAnsi="Proxima Nova"/>
          <w:color w:val="11202A"/>
          <w:sz w:val="24"/>
          <w:szCs w:val="24"/>
        </w:rPr>
      </w:pPr>
    </w:p>
    <w:p w14:paraId="77CAC0AE" w14:textId="3CA2D606" w:rsidR="0048666A" w:rsidRPr="0048666A" w:rsidRDefault="0048666A" w:rsidP="0048666A">
      <w:pPr>
        <w:pStyle w:val="NoSpacing"/>
        <w:jc w:val="center"/>
        <w:rPr>
          <w:rFonts w:ascii="Proxima Nova" w:hAnsi="Proxima Nova"/>
          <w:b/>
          <w:bCs/>
          <w:color w:val="11202A"/>
          <w:sz w:val="28"/>
          <w:szCs w:val="28"/>
        </w:rPr>
      </w:pPr>
      <w:r w:rsidRPr="0048666A">
        <w:rPr>
          <w:rFonts w:ascii="Proxima Nova" w:hAnsi="Proxima Nova"/>
          <w:b/>
          <w:bCs/>
          <w:color w:val="11202A"/>
          <w:sz w:val="28"/>
          <w:szCs w:val="28"/>
        </w:rPr>
        <w:t>Health and Safety</w:t>
      </w:r>
    </w:p>
    <w:p w14:paraId="384EC5C7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410632CB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General Health and Safety Awareness (Technical)</w:t>
      </w:r>
    </w:p>
    <w:p w14:paraId="25D764DF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1904, 1910.1200, 1910 Subpart I, 1910 Subpart D, 1910.146, 1910.147, 1910 Subpart O and 1910 Subpart E MIOSHA Part 11, Part 92, Part 33, Part 2, Part 90, Part 85, Part </w:t>
      </w:r>
      <w:proofErr w:type="gramStart"/>
      <w:r w:rsidRPr="0048666A">
        <w:rPr>
          <w:rFonts w:ascii="Proxima Nova" w:hAnsi="Proxima Nova"/>
          <w:sz w:val="24"/>
          <w:szCs w:val="24"/>
        </w:rPr>
        <w:t>7</w:t>
      </w:r>
      <w:proofErr w:type="gramEnd"/>
      <w:r w:rsidRPr="0048666A">
        <w:rPr>
          <w:rFonts w:ascii="Proxima Nova" w:hAnsi="Proxima Nova"/>
          <w:sz w:val="24"/>
          <w:szCs w:val="24"/>
        </w:rPr>
        <w:t xml:space="preserve"> and Part 6 </w:t>
      </w:r>
    </w:p>
    <w:p w14:paraId="534591A8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8 hours </w:t>
      </w:r>
    </w:p>
    <w:p w14:paraId="2EF1C149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0B90CC8A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General Health and Safety Awareness (Administrative)</w:t>
      </w:r>
    </w:p>
    <w:p w14:paraId="4D037464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1904, 1910.1200, 1910 Subpart I, 1910 Subpart D, 1910.146, 1910.147, 1910 Subpart O and 1910 Subpart E MIOSHA Part 11, Part 92, Part 33, Part 2, Part 90, Part 85, Part </w:t>
      </w:r>
      <w:proofErr w:type="gramStart"/>
      <w:r w:rsidRPr="0048666A">
        <w:rPr>
          <w:rFonts w:ascii="Proxima Nova" w:hAnsi="Proxima Nova"/>
          <w:sz w:val="24"/>
          <w:szCs w:val="24"/>
        </w:rPr>
        <w:t>7</w:t>
      </w:r>
      <w:proofErr w:type="gramEnd"/>
      <w:r w:rsidRPr="0048666A">
        <w:rPr>
          <w:rFonts w:ascii="Proxima Nova" w:hAnsi="Proxima Nova"/>
          <w:sz w:val="24"/>
          <w:szCs w:val="24"/>
        </w:rPr>
        <w:t xml:space="preserve"> and Part 6 </w:t>
      </w:r>
    </w:p>
    <w:p w14:paraId="18950B41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4 hours </w:t>
      </w:r>
    </w:p>
    <w:p w14:paraId="28DD77CF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534A06B5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Toxic and Hazardous Substances Awareness</w:t>
      </w:r>
    </w:p>
    <w:p w14:paraId="59F024AB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1910 Subpart Z and MIOSHA Part 301 </w:t>
      </w:r>
    </w:p>
    <w:p w14:paraId="6CBBA8EF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4 hours </w:t>
      </w:r>
    </w:p>
    <w:p w14:paraId="764CB97B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787489CF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Confined Space Entry Initial</w:t>
      </w:r>
    </w:p>
    <w:p w14:paraId="29D7BA38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General Industry: OSHA 29 CFR 1910.146 and MIOSHA Part 90 Construction: OSHA 29 CFR 1926.1200 Subpart AA and MIOSHA Part 35 </w:t>
      </w:r>
    </w:p>
    <w:p w14:paraId="540FBF19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16 hours </w:t>
      </w:r>
    </w:p>
    <w:p w14:paraId="7B230A3B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0A4C65B5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Confined Space Entry Refresher</w:t>
      </w:r>
    </w:p>
    <w:p w14:paraId="2FE6965D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General Industry: OSHA 29 CFR1910.146 and MIOSHA Part 90 Construction: OSHA 29 CFR 1926.1200 Subpart AA and MIOSHA Part 35 </w:t>
      </w:r>
    </w:p>
    <w:p w14:paraId="3C233DCF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8 hours </w:t>
      </w:r>
    </w:p>
    <w:p w14:paraId="2F0707BD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3BC0B9D3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Adult FIRST AID/CPR/AED</w:t>
      </w:r>
    </w:p>
    <w:p w14:paraId="6BA59729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Subpart K and MIOSHA Part 472 </w:t>
      </w:r>
    </w:p>
    <w:p w14:paraId="4AA4F2FC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Hours: 4.5 hours</w:t>
      </w:r>
    </w:p>
    <w:p w14:paraId="350A8763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6FF8B2A2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Bloodborne Pathogens</w:t>
      </w:r>
    </w:p>
    <w:p w14:paraId="32E9F09B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1910.1030 and MIOSHA Part 554 </w:t>
      </w:r>
    </w:p>
    <w:p w14:paraId="53C0389C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Hours: 1 Hour</w:t>
      </w:r>
    </w:p>
    <w:p w14:paraId="10488B65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4A18698C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lastRenderedPageBreak/>
        <w:t>Forklift (Hi-Lo)</w:t>
      </w:r>
    </w:p>
    <w:p w14:paraId="2596011E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1910.178 and MIOSHA Part 21 </w:t>
      </w:r>
    </w:p>
    <w:p w14:paraId="06B5ACE6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4 hours </w:t>
      </w:r>
    </w:p>
    <w:p w14:paraId="02B6B499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363AF82C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Hazardous Waste Operations and Emergency Response (HAZWOPER) 40-Hour</w:t>
      </w:r>
    </w:p>
    <w:p w14:paraId="0F4F785F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1910.120 and MIOSHA Part 432 </w:t>
      </w:r>
    </w:p>
    <w:p w14:paraId="76C98A75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40 hours </w:t>
      </w:r>
    </w:p>
    <w:p w14:paraId="2CD1A251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014CC1FD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Hazardous Waste Operations and Emergency Response (HAZWOPER) 8-Hour Refresher</w:t>
      </w:r>
    </w:p>
    <w:p w14:paraId="78BAC21A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1910.120 and MIOSHA Part 432 </w:t>
      </w:r>
    </w:p>
    <w:p w14:paraId="2FB54C52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8 hours </w:t>
      </w:r>
    </w:p>
    <w:p w14:paraId="593DA1F5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2C7B0860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Lockout Tagout</w:t>
      </w:r>
    </w:p>
    <w:p w14:paraId="06FD1296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Regulatory Standard(s): OSHA 29 CFR 1910.147 and MIOSHA Part 85 MIOSHA Part 12 and Part 8 </w:t>
      </w:r>
    </w:p>
    <w:p w14:paraId="35BEB173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Hours: 8 hours </w:t>
      </w:r>
    </w:p>
    <w:p w14:paraId="6FAA6204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767F1A1A" w14:textId="77777777" w:rsidR="0048666A" w:rsidRPr="0048666A" w:rsidRDefault="0048666A" w:rsidP="0048666A">
      <w:pPr>
        <w:pStyle w:val="NoSpacing"/>
        <w:jc w:val="center"/>
        <w:rPr>
          <w:rFonts w:ascii="Proxima Nova" w:hAnsi="Proxima Nova"/>
          <w:b/>
          <w:bCs/>
          <w:sz w:val="28"/>
          <w:szCs w:val="28"/>
        </w:rPr>
      </w:pPr>
      <w:r w:rsidRPr="0048666A">
        <w:rPr>
          <w:rFonts w:ascii="Proxima Nova" w:hAnsi="Proxima Nova"/>
          <w:b/>
          <w:bCs/>
          <w:sz w:val="28"/>
          <w:szCs w:val="28"/>
        </w:rPr>
        <w:t>Leadership Development</w:t>
      </w:r>
    </w:p>
    <w:p w14:paraId="051951F5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3769D6E2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 xml:space="preserve">Crucial Conversations (Crucial Learning) </w:t>
      </w:r>
    </w:p>
    <w:p w14:paraId="72655C63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Hours: 14 hours</w:t>
      </w:r>
    </w:p>
    <w:p w14:paraId="35963C53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</w:p>
    <w:p w14:paraId="5F950774" w14:textId="77777777" w:rsidR="0048666A" w:rsidRPr="0048666A" w:rsidRDefault="0048666A" w:rsidP="0048666A">
      <w:pPr>
        <w:pStyle w:val="NoSpacing"/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7 Habits of Highly Effective People (Franklin Covey)</w:t>
      </w:r>
    </w:p>
    <w:p w14:paraId="734BDC08" w14:textId="77777777" w:rsidR="0048666A" w:rsidRPr="0048666A" w:rsidRDefault="0048666A" w:rsidP="0048666A">
      <w:pPr>
        <w:pStyle w:val="NoSpacing"/>
        <w:numPr>
          <w:ilvl w:val="0"/>
          <w:numId w:val="1"/>
        </w:numPr>
        <w:rPr>
          <w:rFonts w:ascii="Proxima Nova" w:hAnsi="Proxima Nova"/>
          <w:sz w:val="24"/>
          <w:szCs w:val="24"/>
        </w:rPr>
      </w:pPr>
      <w:r w:rsidRPr="0048666A">
        <w:rPr>
          <w:rFonts w:ascii="Proxima Nova" w:hAnsi="Proxima Nova"/>
          <w:sz w:val="24"/>
          <w:szCs w:val="24"/>
        </w:rPr>
        <w:t>Hours: 16 hours</w:t>
      </w:r>
    </w:p>
    <w:p w14:paraId="506235AA" w14:textId="77777777" w:rsidR="00B245FC" w:rsidRPr="0048666A" w:rsidRDefault="00B245FC">
      <w:pPr>
        <w:rPr>
          <w:rFonts w:ascii="Proxima Nova" w:hAnsi="Proxima Nova"/>
        </w:rPr>
      </w:pPr>
    </w:p>
    <w:sectPr w:rsidR="00B245FC" w:rsidRPr="0048666A" w:rsidSect="0066560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63BDC"/>
    <w:multiLevelType w:val="hybridMultilevel"/>
    <w:tmpl w:val="3A1EE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21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6A"/>
    <w:rsid w:val="0048666A"/>
    <w:rsid w:val="00B2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4A3D"/>
  <w15:chartTrackingRefBased/>
  <w15:docId w15:val="{0D7638E9-D9B9-4BE6-A7D4-E50A5275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6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Burns</dc:creator>
  <cp:keywords/>
  <dc:description/>
  <cp:lastModifiedBy>Stefanie Burns</cp:lastModifiedBy>
  <cp:revision>1</cp:revision>
  <dcterms:created xsi:type="dcterms:W3CDTF">2023-03-02T14:06:00Z</dcterms:created>
  <dcterms:modified xsi:type="dcterms:W3CDTF">2023-03-02T14:09:00Z</dcterms:modified>
</cp:coreProperties>
</file>