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E4448" w14:textId="01EFDFBE" w:rsidR="00515A94" w:rsidRPr="00515A94" w:rsidRDefault="00515A94" w:rsidP="00515A94">
      <w:pPr>
        <w:rPr>
          <w:rFonts w:ascii="Cambria" w:eastAsia="MS Mincho" w:hAnsi="Cambria" w:cs="Times New Roman"/>
          <w:b/>
        </w:rPr>
      </w:pPr>
      <w:r w:rsidRPr="00515A94">
        <w:rPr>
          <w:rFonts w:ascii="Cambria" w:eastAsia="MS Mincho" w:hAnsi="Cambria" w:cs="Times New Roman"/>
          <w:b/>
        </w:rPr>
        <w:t>FOR IMMEDIATE RELEASE</w:t>
      </w:r>
    </w:p>
    <w:p w14:paraId="4F94E655" w14:textId="2F97015E" w:rsidR="006253A2" w:rsidRPr="00515A94" w:rsidRDefault="00417F3F" w:rsidP="006253A2">
      <w:pPr>
        <w:rPr>
          <w:rFonts w:ascii="Cambria" w:eastAsia="MS Mincho" w:hAnsi="Cambria" w:cs="Times New Roman"/>
        </w:rPr>
      </w:pPr>
      <w:r w:rsidRPr="002157D8">
        <w:rPr>
          <w:rFonts w:ascii="Cambria" w:eastAsia="MS Mincho" w:hAnsi="Cambria" w:cs="Times New Roman"/>
        </w:rPr>
        <w:t>February 22, 2023</w:t>
      </w:r>
    </w:p>
    <w:p w14:paraId="1E552BD7" w14:textId="77777777" w:rsidR="006253A2" w:rsidRPr="00515A94" w:rsidRDefault="006253A2" w:rsidP="006253A2">
      <w:pPr>
        <w:rPr>
          <w:rFonts w:ascii="Cambria" w:eastAsia="MS Mincho" w:hAnsi="Cambria" w:cs="Times New Roman"/>
        </w:rPr>
      </w:pPr>
    </w:p>
    <w:p w14:paraId="447F8C3B" w14:textId="31831460" w:rsidR="006253A2" w:rsidRPr="00600538" w:rsidRDefault="006253A2" w:rsidP="006253A2">
      <w:pPr>
        <w:rPr>
          <w:rFonts w:ascii="Cambria" w:eastAsia="MS Mincho" w:hAnsi="Cambria" w:cs="Times New Roman"/>
        </w:rPr>
      </w:pPr>
      <w:r w:rsidRPr="00600538">
        <w:rPr>
          <w:rFonts w:ascii="Cambria" w:eastAsia="MS Mincho" w:hAnsi="Cambria" w:cs="Times New Roman"/>
        </w:rPr>
        <w:t xml:space="preserve">Media Contact: </w:t>
      </w:r>
    </w:p>
    <w:p w14:paraId="3A27FB9F" w14:textId="77777777" w:rsidR="00047BEB" w:rsidRDefault="00047BEB" w:rsidP="00047BEB">
      <w:pPr>
        <w:rPr>
          <w:rFonts w:ascii="Cambria" w:hAnsi="Cambria" w:cstheme="majorHAnsi"/>
          <w:b/>
        </w:rPr>
      </w:pPr>
      <w:r w:rsidRPr="00E84A90">
        <w:rPr>
          <w:rFonts w:ascii="Cambria" w:eastAsia="MS Mincho" w:hAnsi="Cambria" w:cstheme="majorHAnsi"/>
        </w:rPr>
        <w:t xml:space="preserve">Ashleigh Chatel / O: 313-324-7867/ </w:t>
      </w:r>
      <w:hyperlink r:id="rId10" w:history="1">
        <w:r w:rsidRPr="00E84A90">
          <w:rPr>
            <w:rStyle w:val="Hyperlink"/>
            <w:rFonts w:ascii="Cambria" w:hAnsi="Cambria" w:cstheme="majorHAnsi"/>
          </w:rPr>
          <w:t>ashleigh.chatel@fleishman.com</w:t>
        </w:r>
      </w:hyperlink>
      <w:r w:rsidRPr="00E84A90">
        <w:rPr>
          <w:rFonts w:ascii="Cambria" w:hAnsi="Cambria" w:cstheme="majorHAnsi"/>
          <w:b/>
        </w:rPr>
        <w:t xml:space="preserve"> </w:t>
      </w:r>
    </w:p>
    <w:p w14:paraId="216815BC" w14:textId="0206B4D5" w:rsidR="00C42F6E" w:rsidRPr="006F1924" w:rsidRDefault="006F1924" w:rsidP="00047BEB">
      <w:pPr>
        <w:rPr>
          <w:rFonts w:ascii="Cambria" w:eastAsia="MS Mincho" w:hAnsi="Cambria" w:cstheme="majorHAnsi"/>
          <w:bCs/>
          <w:color w:val="0000FF"/>
          <w:u w:val="single"/>
        </w:rPr>
      </w:pPr>
      <w:r>
        <w:rPr>
          <w:rStyle w:val="CommentReference"/>
          <w:rFonts w:ascii="Cambria" w:hAnsi="Cambria"/>
          <w:sz w:val="24"/>
          <w:szCs w:val="24"/>
        </w:rPr>
        <w:t xml:space="preserve">Michelle Zdrodowski / C: 313-618-0552 / </w:t>
      </w:r>
      <w:hyperlink r:id="rId11" w:history="1">
        <w:r w:rsidRPr="00600DBC">
          <w:rPr>
            <w:rStyle w:val="Hyperlink"/>
            <w:rFonts w:ascii="Cambria" w:hAnsi="Cambria"/>
          </w:rPr>
          <w:t>michelle.zdrodowski@glwater.org</w:t>
        </w:r>
      </w:hyperlink>
      <w:r>
        <w:rPr>
          <w:rStyle w:val="CommentReference"/>
          <w:rFonts w:ascii="Cambria" w:hAnsi="Cambria"/>
          <w:sz w:val="24"/>
          <w:szCs w:val="24"/>
        </w:rPr>
        <w:t xml:space="preserve"> </w:t>
      </w:r>
    </w:p>
    <w:p w14:paraId="0F807676" w14:textId="77777777" w:rsidR="006253A2" w:rsidRPr="002404A0" w:rsidRDefault="006253A2" w:rsidP="006253A2">
      <w:pPr>
        <w:rPr>
          <w:rFonts w:ascii="Helvetica" w:eastAsia="MS Mincho" w:hAnsi="Helvetica" w:cs="Times New Roman"/>
        </w:rPr>
      </w:pPr>
    </w:p>
    <w:p w14:paraId="4E0D7EC0" w14:textId="54EB1200" w:rsidR="00754C77" w:rsidRDefault="009121B8" w:rsidP="00754C77">
      <w:pPr>
        <w:jc w:val="center"/>
        <w:rPr>
          <w:rFonts w:ascii="Helvetica" w:hAnsi="Helvetica"/>
          <w:b/>
        </w:rPr>
      </w:pPr>
      <w:r w:rsidRPr="007C53F4">
        <w:rPr>
          <w:rFonts w:ascii="Helvetica" w:hAnsi="Helvetica"/>
          <w:b/>
        </w:rPr>
        <w:t>G</w:t>
      </w:r>
      <w:r w:rsidR="00646876">
        <w:rPr>
          <w:rFonts w:ascii="Helvetica" w:hAnsi="Helvetica"/>
          <w:b/>
        </w:rPr>
        <w:t>LWA</w:t>
      </w:r>
      <w:r w:rsidRPr="007C53F4">
        <w:rPr>
          <w:rFonts w:ascii="Helvetica" w:hAnsi="Helvetica"/>
          <w:b/>
        </w:rPr>
        <w:t xml:space="preserve"> </w:t>
      </w:r>
      <w:r w:rsidR="00646876">
        <w:rPr>
          <w:rFonts w:ascii="Helvetica" w:hAnsi="Helvetica"/>
          <w:b/>
        </w:rPr>
        <w:t>HONOR</w:t>
      </w:r>
      <w:r w:rsidR="00BC4D0F">
        <w:rPr>
          <w:rFonts w:ascii="Helvetica" w:hAnsi="Helvetica"/>
          <w:b/>
        </w:rPr>
        <w:t>S</w:t>
      </w:r>
      <w:r w:rsidR="00646876">
        <w:rPr>
          <w:rFonts w:ascii="Helvetica" w:hAnsi="Helvetica"/>
          <w:b/>
        </w:rPr>
        <w:t xml:space="preserve"> 4% PROMISE </w:t>
      </w:r>
      <w:r w:rsidR="00766B1A">
        <w:rPr>
          <w:rFonts w:ascii="Helvetica" w:hAnsi="Helvetica"/>
          <w:b/>
        </w:rPr>
        <w:t>FY 2024 &amp; FY 2025 BIENNIAL</w:t>
      </w:r>
      <w:r w:rsidR="00646876">
        <w:rPr>
          <w:rFonts w:ascii="Helvetica" w:hAnsi="Helvetica"/>
          <w:b/>
        </w:rPr>
        <w:t xml:space="preserve"> BUDGET DESPITE HISTORIC OPERATIONAL COST INCREASES &amp; INFLATIONARY PRESSURE</w:t>
      </w:r>
    </w:p>
    <w:p w14:paraId="242D50A9" w14:textId="45C22CD0" w:rsidR="005541F7" w:rsidRDefault="00C65682" w:rsidP="005541F7">
      <w:pPr>
        <w:pStyle w:val="ListParagraph"/>
        <w:numPr>
          <w:ilvl w:val="0"/>
          <w:numId w:val="10"/>
        </w:numPr>
        <w:rPr>
          <w:rFonts w:ascii="Cambria" w:hAnsi="Cambria" w:cs="Times New Roman"/>
          <w:i/>
        </w:rPr>
      </w:pPr>
      <w:r>
        <w:rPr>
          <w:rFonts w:ascii="Cambria" w:hAnsi="Cambria" w:cs="Times New Roman"/>
          <w:i/>
        </w:rPr>
        <w:t>S</w:t>
      </w:r>
      <w:r w:rsidR="00435875" w:rsidRPr="00646876">
        <w:rPr>
          <w:rFonts w:ascii="Cambria" w:hAnsi="Cambria" w:cs="Times New Roman"/>
          <w:i/>
        </w:rPr>
        <w:t xml:space="preserve">ystem-wide charge increase is 2.75 percent for both water and wastewater; well below the rate of inflation of </w:t>
      </w:r>
      <w:r w:rsidR="00646876" w:rsidRPr="00646876">
        <w:rPr>
          <w:rFonts w:ascii="Cambria" w:hAnsi="Cambria" w:cs="Times New Roman"/>
          <w:i/>
        </w:rPr>
        <w:t>6</w:t>
      </w:r>
      <w:r w:rsidR="00435875" w:rsidRPr="00646876">
        <w:rPr>
          <w:rFonts w:ascii="Cambria" w:hAnsi="Cambria" w:cs="Times New Roman"/>
          <w:i/>
        </w:rPr>
        <w:t>.</w:t>
      </w:r>
      <w:r w:rsidR="002913B9">
        <w:rPr>
          <w:rFonts w:ascii="Cambria" w:hAnsi="Cambria" w:cs="Times New Roman"/>
          <w:i/>
        </w:rPr>
        <w:t>5</w:t>
      </w:r>
      <w:r w:rsidR="00435875" w:rsidRPr="00646876">
        <w:rPr>
          <w:rFonts w:ascii="Cambria" w:hAnsi="Cambria" w:cs="Times New Roman"/>
          <w:i/>
        </w:rPr>
        <w:t xml:space="preserve"> percent</w:t>
      </w:r>
    </w:p>
    <w:p w14:paraId="2A7F9BD0" w14:textId="13872CA5" w:rsidR="005541F7" w:rsidRPr="005541F7" w:rsidRDefault="005A5765" w:rsidP="005541F7">
      <w:pPr>
        <w:pStyle w:val="ListParagraph"/>
        <w:numPr>
          <w:ilvl w:val="0"/>
          <w:numId w:val="10"/>
        </w:numPr>
        <w:rPr>
          <w:rFonts w:ascii="Cambria" w:hAnsi="Cambria" w:cs="Times New Roman"/>
          <w:i/>
        </w:rPr>
      </w:pPr>
      <w:r>
        <w:rPr>
          <w:rFonts w:ascii="Cambria" w:hAnsi="Cambria" w:cs="Times New Roman"/>
          <w:i/>
        </w:rPr>
        <w:t xml:space="preserve">Seven-year </w:t>
      </w:r>
      <w:r w:rsidR="005126B4">
        <w:rPr>
          <w:rFonts w:ascii="Cambria" w:hAnsi="Cambria" w:cs="Times New Roman"/>
          <w:i/>
        </w:rPr>
        <w:t xml:space="preserve">annual </w:t>
      </w:r>
      <w:r>
        <w:rPr>
          <w:rFonts w:ascii="Cambria" w:hAnsi="Cambria" w:cs="Times New Roman"/>
          <w:i/>
        </w:rPr>
        <w:t xml:space="preserve">average charge adjustment is </w:t>
      </w:r>
      <w:r w:rsidR="00605E31">
        <w:rPr>
          <w:rFonts w:ascii="Cambria" w:hAnsi="Cambria" w:cs="Times New Roman"/>
          <w:i/>
        </w:rPr>
        <w:t xml:space="preserve">just </w:t>
      </w:r>
      <w:r>
        <w:rPr>
          <w:rFonts w:ascii="Cambria" w:hAnsi="Cambria" w:cs="Times New Roman"/>
          <w:i/>
        </w:rPr>
        <w:t xml:space="preserve">2.2 percent for water and </w:t>
      </w:r>
      <w:r w:rsidR="00EB1F0D">
        <w:rPr>
          <w:rFonts w:ascii="Cambria" w:hAnsi="Cambria" w:cs="Times New Roman"/>
          <w:i/>
        </w:rPr>
        <w:t>0.9 percent for wastewater</w:t>
      </w:r>
    </w:p>
    <w:p w14:paraId="66E907D8" w14:textId="627202D9" w:rsidR="00F3063E" w:rsidRDefault="002436F3">
      <w:pPr>
        <w:pStyle w:val="ListParagraph"/>
        <w:numPr>
          <w:ilvl w:val="0"/>
          <w:numId w:val="10"/>
        </w:numPr>
        <w:rPr>
          <w:rFonts w:ascii="Cambria" w:hAnsi="Cambria" w:cs="Times New Roman"/>
          <w:i/>
        </w:rPr>
      </w:pPr>
      <w:r w:rsidRPr="00CE534D">
        <w:rPr>
          <w:rFonts w:ascii="Cambria" w:hAnsi="Cambria" w:cs="Times New Roman"/>
          <w:i/>
        </w:rPr>
        <w:t>FY 2024 Water System charges reflect the every-four-year “reset” in shares based on the contract alignment process</w:t>
      </w:r>
      <w:r w:rsidR="002504CA">
        <w:rPr>
          <w:rFonts w:ascii="Cambria" w:hAnsi="Cambria" w:cs="Times New Roman"/>
          <w:i/>
        </w:rPr>
        <w:t>; this short-term variability</w:t>
      </w:r>
      <w:r w:rsidR="00E106A2">
        <w:rPr>
          <w:rFonts w:ascii="Cambria" w:hAnsi="Cambria" w:cs="Times New Roman"/>
          <w:i/>
        </w:rPr>
        <w:t xml:space="preserve">, done at the </w:t>
      </w:r>
      <w:r w:rsidR="00421FDA">
        <w:rPr>
          <w:rFonts w:ascii="Cambria" w:hAnsi="Cambria" w:cs="Times New Roman"/>
          <w:i/>
        </w:rPr>
        <w:t>consensus</w:t>
      </w:r>
      <w:r w:rsidR="00E106A2">
        <w:rPr>
          <w:rFonts w:ascii="Cambria" w:hAnsi="Cambria" w:cs="Times New Roman"/>
          <w:i/>
        </w:rPr>
        <w:t xml:space="preserve"> of member partners, leads to three years of </w:t>
      </w:r>
      <w:r w:rsidR="00687B00">
        <w:rPr>
          <w:rFonts w:ascii="Cambria" w:hAnsi="Cambria" w:cs="Times New Roman"/>
          <w:i/>
        </w:rPr>
        <w:t>overall</w:t>
      </w:r>
      <w:r w:rsidR="00E106A2">
        <w:rPr>
          <w:rFonts w:ascii="Cambria" w:hAnsi="Cambria" w:cs="Times New Roman"/>
          <w:i/>
        </w:rPr>
        <w:t xml:space="preserve"> stability</w:t>
      </w:r>
    </w:p>
    <w:p w14:paraId="7E219B77" w14:textId="2B120B4A" w:rsidR="00CE534D" w:rsidRPr="00CE534D" w:rsidRDefault="00CE534D">
      <w:pPr>
        <w:pStyle w:val="ListParagraph"/>
        <w:numPr>
          <w:ilvl w:val="0"/>
          <w:numId w:val="10"/>
        </w:numPr>
        <w:rPr>
          <w:rFonts w:ascii="Cambria" w:hAnsi="Cambria" w:cs="Times New Roman"/>
          <w:i/>
        </w:rPr>
      </w:pPr>
      <w:r>
        <w:rPr>
          <w:rFonts w:ascii="Cambria" w:hAnsi="Cambria" w:cs="Times New Roman"/>
          <w:i/>
        </w:rPr>
        <w:t>Highland Park Bad Debt</w:t>
      </w:r>
      <w:r w:rsidR="007906C4">
        <w:rPr>
          <w:rFonts w:ascii="Cambria" w:hAnsi="Cambria" w:cs="Times New Roman"/>
          <w:i/>
        </w:rPr>
        <w:t xml:space="preserve"> Expense Recovery not included in FY 2024 charges</w:t>
      </w:r>
    </w:p>
    <w:p w14:paraId="4BB91D8D" w14:textId="72D0B29A" w:rsidR="008B5179" w:rsidRDefault="008B5179" w:rsidP="008B5179">
      <w:pPr>
        <w:rPr>
          <w:rFonts w:ascii="Cambria" w:hAnsi="Cambria" w:cs="Times New Roman"/>
          <w:i/>
        </w:rPr>
      </w:pPr>
    </w:p>
    <w:p w14:paraId="364183CA" w14:textId="22890ECA" w:rsidR="00945A96" w:rsidRDefault="00BA00D2" w:rsidP="00BA00D2">
      <w:pPr>
        <w:rPr>
          <w:rFonts w:ascii="Cambria" w:hAnsi="Cambria"/>
        </w:rPr>
      </w:pPr>
      <w:r w:rsidRPr="3FE72F49">
        <w:rPr>
          <w:rFonts w:ascii="Cambria" w:eastAsia="Times New Roman" w:hAnsi="Cambria" w:cs="Arial"/>
          <w:color w:val="000000" w:themeColor="text1"/>
        </w:rPr>
        <w:t xml:space="preserve">DETROIT— </w:t>
      </w:r>
      <w:r w:rsidRPr="0000377D">
        <w:rPr>
          <w:rFonts w:ascii="Cambria" w:hAnsi="Cambria"/>
        </w:rPr>
        <w:t xml:space="preserve">The Great Lakes Water Authority (GLWA) </w:t>
      </w:r>
      <w:r>
        <w:rPr>
          <w:rFonts w:ascii="Cambria" w:hAnsi="Cambria"/>
        </w:rPr>
        <w:t>B</w:t>
      </w:r>
      <w:r w:rsidRPr="0000377D">
        <w:rPr>
          <w:rFonts w:ascii="Cambria" w:hAnsi="Cambria"/>
        </w:rPr>
        <w:t xml:space="preserve">oard </w:t>
      </w:r>
      <w:r>
        <w:rPr>
          <w:rFonts w:ascii="Cambria" w:hAnsi="Cambria"/>
        </w:rPr>
        <w:t xml:space="preserve">of </w:t>
      </w:r>
      <w:r w:rsidR="00920A65">
        <w:rPr>
          <w:rFonts w:ascii="Cambria" w:hAnsi="Cambria"/>
        </w:rPr>
        <w:t>Directors</w:t>
      </w:r>
      <w:r w:rsidR="00201629">
        <w:rPr>
          <w:rFonts w:ascii="Cambria" w:hAnsi="Cambria"/>
        </w:rPr>
        <w:t>, at its meeting on Wednesday, February 22, 2023,</w:t>
      </w:r>
      <w:r w:rsidR="00A03BE9">
        <w:rPr>
          <w:rFonts w:ascii="Cambria" w:hAnsi="Cambria"/>
        </w:rPr>
        <w:t xml:space="preserve"> </w:t>
      </w:r>
      <w:r w:rsidR="00920A65">
        <w:rPr>
          <w:rFonts w:ascii="Cambria" w:hAnsi="Cambria"/>
        </w:rPr>
        <w:t xml:space="preserve">approved </w:t>
      </w:r>
      <w:r w:rsidR="0085786E">
        <w:rPr>
          <w:rFonts w:ascii="Cambria" w:hAnsi="Cambria"/>
        </w:rPr>
        <w:t xml:space="preserve">the organization’s </w:t>
      </w:r>
      <w:r w:rsidR="00AE416F">
        <w:rPr>
          <w:rFonts w:ascii="Cambria" w:hAnsi="Cambria"/>
        </w:rPr>
        <w:t>F</w:t>
      </w:r>
      <w:r w:rsidR="0069538B">
        <w:rPr>
          <w:rFonts w:ascii="Cambria" w:hAnsi="Cambria"/>
        </w:rPr>
        <w:t>iscal Year</w:t>
      </w:r>
      <w:r w:rsidR="00AE416F">
        <w:rPr>
          <w:rFonts w:ascii="Cambria" w:hAnsi="Cambria"/>
        </w:rPr>
        <w:t xml:space="preserve"> 2024 </w:t>
      </w:r>
      <w:r w:rsidR="00C908C3">
        <w:rPr>
          <w:rFonts w:ascii="Cambria" w:hAnsi="Cambria"/>
        </w:rPr>
        <w:t xml:space="preserve">and FY 2025 </w:t>
      </w:r>
      <w:r w:rsidR="00CD21DF">
        <w:rPr>
          <w:rFonts w:ascii="Cambria" w:hAnsi="Cambria"/>
        </w:rPr>
        <w:t>bien</w:t>
      </w:r>
      <w:r w:rsidR="004B2F40">
        <w:rPr>
          <w:rFonts w:ascii="Cambria" w:hAnsi="Cambria"/>
        </w:rPr>
        <w:t>n</w:t>
      </w:r>
      <w:r w:rsidR="00CD21DF">
        <w:rPr>
          <w:rFonts w:ascii="Cambria" w:hAnsi="Cambria"/>
        </w:rPr>
        <w:t>ial</w:t>
      </w:r>
      <w:r w:rsidR="00AE416F">
        <w:rPr>
          <w:rFonts w:ascii="Cambria" w:hAnsi="Cambria"/>
        </w:rPr>
        <w:t xml:space="preserve"> </w:t>
      </w:r>
      <w:r w:rsidR="0085786E">
        <w:rPr>
          <w:rFonts w:ascii="Cambria" w:hAnsi="Cambria"/>
        </w:rPr>
        <w:t xml:space="preserve">budget, as well as </w:t>
      </w:r>
      <w:r w:rsidR="00920A65">
        <w:rPr>
          <w:rFonts w:ascii="Cambria" w:hAnsi="Cambria"/>
        </w:rPr>
        <w:t>the</w:t>
      </w:r>
      <w:r w:rsidRPr="0000377D">
        <w:rPr>
          <w:rFonts w:ascii="Cambria" w:hAnsi="Cambria"/>
        </w:rPr>
        <w:t xml:space="preserve"> </w:t>
      </w:r>
      <w:r w:rsidR="0069538B">
        <w:rPr>
          <w:rFonts w:ascii="Cambria" w:hAnsi="Cambria"/>
        </w:rPr>
        <w:t xml:space="preserve">corresponding </w:t>
      </w:r>
      <w:r w:rsidR="00C51517">
        <w:rPr>
          <w:rFonts w:ascii="Cambria" w:hAnsi="Cambria"/>
        </w:rPr>
        <w:t xml:space="preserve">FY </w:t>
      </w:r>
      <w:r w:rsidR="004178C0">
        <w:rPr>
          <w:rFonts w:ascii="Cambria" w:hAnsi="Cambria"/>
        </w:rPr>
        <w:t>20</w:t>
      </w:r>
      <w:r w:rsidR="00C51517">
        <w:rPr>
          <w:rFonts w:ascii="Cambria" w:hAnsi="Cambria"/>
        </w:rPr>
        <w:t xml:space="preserve">24 </w:t>
      </w:r>
      <w:r w:rsidRPr="0000377D">
        <w:rPr>
          <w:rFonts w:ascii="Cambria" w:hAnsi="Cambria"/>
        </w:rPr>
        <w:t xml:space="preserve">water and </w:t>
      </w:r>
      <w:r>
        <w:rPr>
          <w:rFonts w:ascii="Cambria" w:hAnsi="Cambria"/>
        </w:rPr>
        <w:t>wastewater</w:t>
      </w:r>
      <w:r w:rsidRPr="0000377D">
        <w:rPr>
          <w:rFonts w:ascii="Cambria" w:hAnsi="Cambria"/>
        </w:rPr>
        <w:t xml:space="preserve"> charges for its </w:t>
      </w:r>
      <w:r>
        <w:rPr>
          <w:rFonts w:ascii="Cambria" w:hAnsi="Cambria"/>
        </w:rPr>
        <w:t>member partner</w:t>
      </w:r>
      <w:r w:rsidRPr="0000377D">
        <w:rPr>
          <w:rFonts w:ascii="Cambria" w:hAnsi="Cambria"/>
        </w:rPr>
        <w:t xml:space="preserve"> communities.</w:t>
      </w:r>
      <w:r>
        <w:rPr>
          <w:rFonts w:ascii="Cambria" w:hAnsi="Cambria"/>
        </w:rPr>
        <w:t xml:space="preserve"> </w:t>
      </w:r>
    </w:p>
    <w:p w14:paraId="155530D0" w14:textId="77777777" w:rsidR="00945A96" w:rsidRDefault="00945A96" w:rsidP="00BA00D2">
      <w:pPr>
        <w:rPr>
          <w:rFonts w:ascii="Cambria" w:hAnsi="Cambria"/>
        </w:rPr>
      </w:pPr>
    </w:p>
    <w:p w14:paraId="3AA3FBDF" w14:textId="02E4537A" w:rsidR="00394C77" w:rsidRDefault="00175296" w:rsidP="00394C77">
      <w:pPr>
        <w:rPr>
          <w:rFonts w:ascii="Cambria" w:hAnsi="Cambria"/>
        </w:rPr>
      </w:pPr>
      <w:r>
        <w:rPr>
          <w:rFonts w:ascii="Cambria" w:hAnsi="Cambria"/>
        </w:rPr>
        <w:t>The</w:t>
      </w:r>
      <w:r w:rsidR="00670A53">
        <w:rPr>
          <w:rFonts w:ascii="Cambria" w:hAnsi="Cambria"/>
        </w:rPr>
        <w:t xml:space="preserve"> </w:t>
      </w:r>
      <w:r w:rsidR="00CA148B">
        <w:rPr>
          <w:rFonts w:ascii="Cambria" w:hAnsi="Cambria"/>
        </w:rPr>
        <w:t>system-wide charge increase</w:t>
      </w:r>
      <w:r w:rsidR="00670A53">
        <w:rPr>
          <w:rFonts w:ascii="Cambria" w:hAnsi="Cambria"/>
        </w:rPr>
        <w:t xml:space="preserve"> for </w:t>
      </w:r>
      <w:r w:rsidR="00810730">
        <w:rPr>
          <w:rFonts w:ascii="Cambria" w:hAnsi="Cambria"/>
        </w:rPr>
        <w:t xml:space="preserve">both </w:t>
      </w:r>
      <w:r w:rsidR="00670A53">
        <w:rPr>
          <w:rFonts w:ascii="Cambria" w:hAnsi="Cambria"/>
        </w:rPr>
        <w:t xml:space="preserve">the </w:t>
      </w:r>
      <w:r w:rsidR="00413E30">
        <w:rPr>
          <w:rFonts w:ascii="Cambria" w:hAnsi="Cambria"/>
        </w:rPr>
        <w:t xml:space="preserve">water and wastewater systems is </w:t>
      </w:r>
      <w:r w:rsidR="00456482" w:rsidRPr="00456482">
        <w:rPr>
          <w:rFonts w:ascii="Cambria" w:hAnsi="Cambria"/>
        </w:rPr>
        <w:t>2.75</w:t>
      </w:r>
      <w:r w:rsidR="00AF39B8">
        <w:rPr>
          <w:rFonts w:ascii="Cambria" w:hAnsi="Cambria"/>
        </w:rPr>
        <w:t xml:space="preserve"> percent</w:t>
      </w:r>
      <w:r w:rsidR="00480F6B">
        <w:rPr>
          <w:rFonts w:ascii="Cambria" w:hAnsi="Cambria"/>
        </w:rPr>
        <w:t>.</w:t>
      </w:r>
      <w:r w:rsidR="009879B1">
        <w:rPr>
          <w:rFonts w:ascii="Cambria" w:hAnsi="Cambria"/>
        </w:rPr>
        <w:t xml:space="preserve"> </w:t>
      </w:r>
      <w:r w:rsidR="0026197D">
        <w:rPr>
          <w:rFonts w:ascii="Cambria" w:hAnsi="Cambria"/>
        </w:rPr>
        <w:t xml:space="preserve"> </w:t>
      </w:r>
      <w:r w:rsidR="00FE4E1E">
        <w:rPr>
          <w:rFonts w:ascii="Cambria" w:hAnsi="Cambria"/>
        </w:rPr>
        <w:t>Th</w:t>
      </w:r>
      <w:r w:rsidR="0002431A">
        <w:rPr>
          <w:rFonts w:ascii="Cambria" w:hAnsi="Cambria"/>
        </w:rPr>
        <w:t>is</w:t>
      </w:r>
      <w:r w:rsidR="000931A7">
        <w:rPr>
          <w:rFonts w:ascii="Cambria" w:hAnsi="Cambria"/>
        </w:rPr>
        <w:t xml:space="preserve"> is </w:t>
      </w:r>
      <w:r w:rsidR="00C262B1">
        <w:rPr>
          <w:rFonts w:ascii="Cambria" w:hAnsi="Cambria"/>
        </w:rPr>
        <w:t>the result</w:t>
      </w:r>
      <w:r w:rsidR="00F634E7">
        <w:rPr>
          <w:rFonts w:ascii="Cambria" w:hAnsi="Cambria"/>
        </w:rPr>
        <w:t xml:space="preserve"> of</w:t>
      </w:r>
      <w:r w:rsidR="000931A7">
        <w:rPr>
          <w:rFonts w:ascii="Cambria" w:hAnsi="Cambria"/>
        </w:rPr>
        <w:t xml:space="preserve"> </w:t>
      </w:r>
      <w:r w:rsidR="00930E88">
        <w:rPr>
          <w:rFonts w:ascii="Cambria" w:hAnsi="Cambria"/>
        </w:rPr>
        <w:t>an</w:t>
      </w:r>
      <w:r w:rsidR="00FE4E1E">
        <w:rPr>
          <w:rFonts w:ascii="Cambria" w:hAnsi="Cambria"/>
        </w:rPr>
        <w:t xml:space="preserve"> overall </w:t>
      </w:r>
      <w:r w:rsidR="009879B1">
        <w:rPr>
          <w:rFonts w:ascii="Cambria" w:hAnsi="Cambria"/>
        </w:rPr>
        <w:t xml:space="preserve">FY 2024 </w:t>
      </w:r>
      <w:r w:rsidR="00FE4E1E">
        <w:rPr>
          <w:rFonts w:ascii="Cambria" w:hAnsi="Cambria"/>
        </w:rPr>
        <w:t xml:space="preserve">budget increase </w:t>
      </w:r>
      <w:r w:rsidR="00930E88">
        <w:rPr>
          <w:rFonts w:ascii="Cambria" w:hAnsi="Cambria"/>
        </w:rPr>
        <w:t xml:space="preserve">of </w:t>
      </w:r>
      <w:r w:rsidR="00FE4E1E">
        <w:rPr>
          <w:rFonts w:ascii="Cambria" w:hAnsi="Cambria"/>
        </w:rPr>
        <w:t>four percent</w:t>
      </w:r>
      <w:r w:rsidR="00C93462">
        <w:rPr>
          <w:rFonts w:ascii="Cambria" w:hAnsi="Cambria"/>
        </w:rPr>
        <w:t>,</w:t>
      </w:r>
      <w:r w:rsidR="00945A96">
        <w:rPr>
          <w:rFonts w:ascii="Cambria" w:hAnsi="Cambria"/>
        </w:rPr>
        <w:t xml:space="preserve"> </w:t>
      </w:r>
      <w:r w:rsidR="00930E88">
        <w:rPr>
          <w:rFonts w:ascii="Cambria" w:hAnsi="Cambria"/>
        </w:rPr>
        <w:t xml:space="preserve">offset by </w:t>
      </w:r>
      <w:r w:rsidR="009D457B">
        <w:rPr>
          <w:rFonts w:ascii="Cambria" w:hAnsi="Cambria"/>
        </w:rPr>
        <w:t>increased investment earnings</w:t>
      </w:r>
      <w:r w:rsidR="009E39A1">
        <w:rPr>
          <w:rFonts w:ascii="Cambria" w:hAnsi="Cambria"/>
        </w:rPr>
        <w:t xml:space="preserve">. </w:t>
      </w:r>
      <w:r w:rsidR="009879B1">
        <w:rPr>
          <w:rFonts w:ascii="Cambria" w:hAnsi="Cambria"/>
        </w:rPr>
        <w:t>Th</w:t>
      </w:r>
      <w:r w:rsidR="00CA6483">
        <w:rPr>
          <w:rFonts w:ascii="Cambria" w:hAnsi="Cambria"/>
        </w:rPr>
        <w:t xml:space="preserve">e </w:t>
      </w:r>
      <w:r w:rsidR="00C93462">
        <w:rPr>
          <w:rFonts w:ascii="Cambria" w:hAnsi="Cambria"/>
        </w:rPr>
        <w:t>charge</w:t>
      </w:r>
      <w:r w:rsidR="009879B1">
        <w:rPr>
          <w:rFonts w:ascii="Cambria" w:hAnsi="Cambria"/>
        </w:rPr>
        <w:t xml:space="preserve"> </w:t>
      </w:r>
      <w:r w:rsidR="00480F6B">
        <w:rPr>
          <w:rFonts w:ascii="Cambria" w:hAnsi="Cambria"/>
        </w:rPr>
        <w:t xml:space="preserve">increase </w:t>
      </w:r>
      <w:r w:rsidR="009879B1">
        <w:rPr>
          <w:rFonts w:ascii="Cambria" w:hAnsi="Cambria"/>
        </w:rPr>
        <w:t xml:space="preserve">is well </w:t>
      </w:r>
      <w:r w:rsidR="00456482">
        <w:rPr>
          <w:rFonts w:ascii="Cambria" w:hAnsi="Cambria"/>
        </w:rPr>
        <w:t xml:space="preserve">below the </w:t>
      </w:r>
      <w:r w:rsidR="00480F6B">
        <w:rPr>
          <w:rFonts w:ascii="Cambria" w:hAnsi="Cambria"/>
        </w:rPr>
        <w:t xml:space="preserve">current </w:t>
      </w:r>
      <w:r w:rsidR="00D246A2">
        <w:rPr>
          <w:rFonts w:ascii="Cambria" w:hAnsi="Cambria"/>
        </w:rPr>
        <w:t>rate of inflation</w:t>
      </w:r>
      <w:r w:rsidR="00A35BE9">
        <w:rPr>
          <w:rFonts w:ascii="Cambria" w:hAnsi="Cambria"/>
        </w:rPr>
        <w:t xml:space="preserve"> in the United State</w:t>
      </w:r>
      <w:r w:rsidR="00480F6B">
        <w:rPr>
          <w:rFonts w:ascii="Cambria" w:hAnsi="Cambria"/>
        </w:rPr>
        <w:t xml:space="preserve">, which is </w:t>
      </w:r>
      <w:r w:rsidR="002D6AB8">
        <w:rPr>
          <w:rFonts w:ascii="Cambria" w:hAnsi="Cambria"/>
        </w:rPr>
        <w:t>6</w:t>
      </w:r>
      <w:r w:rsidR="00D246A2">
        <w:rPr>
          <w:rFonts w:ascii="Cambria" w:hAnsi="Cambria"/>
        </w:rPr>
        <w:t>.</w:t>
      </w:r>
      <w:r w:rsidR="00491973">
        <w:rPr>
          <w:rFonts w:ascii="Cambria" w:hAnsi="Cambria"/>
        </w:rPr>
        <w:t>5</w:t>
      </w:r>
      <w:r w:rsidR="00D246A2">
        <w:rPr>
          <w:rFonts w:ascii="Cambria" w:hAnsi="Cambria"/>
        </w:rPr>
        <w:t xml:space="preserve"> percent</w:t>
      </w:r>
      <w:r w:rsidR="00B040C8">
        <w:rPr>
          <w:rFonts w:ascii="Cambria" w:hAnsi="Cambria"/>
        </w:rPr>
        <w:t>.</w:t>
      </w:r>
      <w:r w:rsidR="00394C77" w:rsidRPr="00394C77">
        <w:rPr>
          <w:rFonts w:ascii="Cambria" w:hAnsi="Cambria"/>
        </w:rPr>
        <w:t xml:space="preserve"> </w:t>
      </w:r>
      <w:r w:rsidR="00A9794D">
        <w:rPr>
          <w:rFonts w:ascii="Cambria" w:hAnsi="Cambria"/>
        </w:rPr>
        <w:t>Highland Park bad debt expense is not included in the FY 2024 charges</w:t>
      </w:r>
      <w:r w:rsidR="00E16AA0">
        <w:rPr>
          <w:rFonts w:ascii="Cambria" w:hAnsi="Cambria"/>
        </w:rPr>
        <w:t>.</w:t>
      </w:r>
    </w:p>
    <w:p w14:paraId="4AA46885" w14:textId="743AF12C" w:rsidR="00480F6B" w:rsidRDefault="00480F6B" w:rsidP="00DC2C37">
      <w:pPr>
        <w:rPr>
          <w:rFonts w:ascii="Cambria" w:hAnsi="Cambria"/>
        </w:rPr>
      </w:pPr>
    </w:p>
    <w:p w14:paraId="29B4B60E" w14:textId="114066F8" w:rsidR="00E04588" w:rsidRDefault="00E04588" w:rsidP="00E04588">
      <w:pPr>
        <w:rPr>
          <w:rFonts w:ascii="Cambria" w:hAnsi="Cambria"/>
        </w:rPr>
      </w:pPr>
      <w:r>
        <w:rPr>
          <w:rFonts w:ascii="Cambria" w:hAnsi="Cambria"/>
        </w:rPr>
        <w:t>“</w:t>
      </w:r>
      <w:r w:rsidR="00DE3330">
        <w:rPr>
          <w:rFonts w:ascii="Cambria" w:hAnsi="Cambria"/>
        </w:rPr>
        <w:t>Given historic operational cost increases and inflationary pressures on our</w:t>
      </w:r>
      <w:r w:rsidR="0085309E">
        <w:rPr>
          <w:rFonts w:ascii="Cambria" w:hAnsi="Cambria"/>
        </w:rPr>
        <w:t xml:space="preserve"> capital programming, </w:t>
      </w:r>
      <w:r w:rsidR="00E9005F">
        <w:rPr>
          <w:rFonts w:ascii="Cambria" w:hAnsi="Cambria"/>
        </w:rPr>
        <w:t xml:space="preserve">this year it was </w:t>
      </w:r>
      <w:r w:rsidR="0085309E">
        <w:rPr>
          <w:rFonts w:ascii="Cambria" w:hAnsi="Cambria"/>
        </w:rPr>
        <w:t xml:space="preserve">incredibly </w:t>
      </w:r>
      <w:r w:rsidR="003347FD">
        <w:rPr>
          <w:rFonts w:ascii="Cambria" w:hAnsi="Cambria"/>
        </w:rPr>
        <w:t xml:space="preserve">challenging </w:t>
      </w:r>
      <w:r w:rsidR="00D93B8E">
        <w:rPr>
          <w:rFonts w:ascii="Cambria" w:hAnsi="Cambria"/>
        </w:rPr>
        <w:t xml:space="preserve">to </w:t>
      </w:r>
      <w:r w:rsidR="008467D5">
        <w:rPr>
          <w:rFonts w:ascii="Cambria" w:hAnsi="Cambria"/>
        </w:rPr>
        <w:t xml:space="preserve">remain committed to the promise we made at our founding </w:t>
      </w:r>
      <w:r w:rsidR="00E9005F">
        <w:rPr>
          <w:rFonts w:ascii="Cambria" w:hAnsi="Cambria"/>
        </w:rPr>
        <w:t>t</w:t>
      </w:r>
      <w:r w:rsidR="008467D5">
        <w:rPr>
          <w:rFonts w:ascii="Cambria" w:hAnsi="Cambria"/>
        </w:rPr>
        <w:t xml:space="preserve">o </w:t>
      </w:r>
      <w:r w:rsidR="006E6F28">
        <w:rPr>
          <w:rFonts w:ascii="Cambria" w:hAnsi="Cambria"/>
        </w:rPr>
        <w:t xml:space="preserve">keep our annual budget increase to no more than </w:t>
      </w:r>
      <w:r w:rsidR="008E55A6">
        <w:rPr>
          <w:rFonts w:ascii="Cambria" w:hAnsi="Cambria"/>
        </w:rPr>
        <w:t xml:space="preserve">four percent in </w:t>
      </w:r>
      <w:r w:rsidR="006E6F28">
        <w:rPr>
          <w:rFonts w:ascii="Cambria" w:hAnsi="Cambria"/>
        </w:rPr>
        <w:t xml:space="preserve">each </w:t>
      </w:r>
      <w:r w:rsidR="00701818">
        <w:rPr>
          <w:rFonts w:ascii="Cambria" w:hAnsi="Cambria"/>
        </w:rPr>
        <w:t xml:space="preserve">of </w:t>
      </w:r>
      <w:r w:rsidR="008E55A6">
        <w:rPr>
          <w:rFonts w:ascii="Cambria" w:hAnsi="Cambria"/>
        </w:rPr>
        <w:t>our first 10 years of operations,</w:t>
      </w:r>
      <w:r>
        <w:rPr>
          <w:rFonts w:ascii="Cambria" w:hAnsi="Cambria"/>
        </w:rPr>
        <w:t>” said Suzanne Coffey, Chief Executive Officer, GLWA. “</w:t>
      </w:r>
      <w:r w:rsidR="00031333">
        <w:rPr>
          <w:rFonts w:ascii="Cambria" w:hAnsi="Cambria"/>
        </w:rPr>
        <w:t xml:space="preserve">Thanks </w:t>
      </w:r>
      <w:r w:rsidR="00313ACD">
        <w:rPr>
          <w:rFonts w:ascii="Cambria" w:hAnsi="Cambria"/>
        </w:rPr>
        <w:t xml:space="preserve">not only to </w:t>
      </w:r>
      <w:r w:rsidR="00474DA0">
        <w:rPr>
          <w:rFonts w:ascii="Cambria" w:hAnsi="Cambria"/>
        </w:rPr>
        <w:t>i</w:t>
      </w:r>
      <w:r w:rsidR="00031333">
        <w:rPr>
          <w:rFonts w:ascii="Cambria" w:hAnsi="Cambria"/>
        </w:rPr>
        <w:t>ncrease</w:t>
      </w:r>
      <w:r w:rsidR="00C618C5">
        <w:rPr>
          <w:rFonts w:ascii="Cambria" w:hAnsi="Cambria"/>
        </w:rPr>
        <w:t>d</w:t>
      </w:r>
      <w:r w:rsidR="00031333">
        <w:rPr>
          <w:rFonts w:ascii="Cambria" w:hAnsi="Cambria"/>
        </w:rPr>
        <w:t xml:space="preserve"> investment earning</w:t>
      </w:r>
      <w:r w:rsidR="00474DA0">
        <w:rPr>
          <w:rFonts w:ascii="Cambria" w:hAnsi="Cambria"/>
        </w:rPr>
        <w:t>s, but</w:t>
      </w:r>
      <w:r w:rsidR="00F01EB7">
        <w:rPr>
          <w:rFonts w:ascii="Cambria" w:hAnsi="Cambria"/>
        </w:rPr>
        <w:t xml:space="preserve"> also to</w:t>
      </w:r>
      <w:r w:rsidR="00474DA0">
        <w:rPr>
          <w:rFonts w:ascii="Cambria" w:hAnsi="Cambria"/>
        </w:rPr>
        <w:t xml:space="preserve"> </w:t>
      </w:r>
      <w:r w:rsidR="001B1AF5">
        <w:rPr>
          <w:rFonts w:ascii="Cambria" w:hAnsi="Cambria"/>
        </w:rPr>
        <w:t>the hard work and commitment of our GLWA team to the principal of affordability</w:t>
      </w:r>
      <w:r w:rsidR="00646BA9">
        <w:rPr>
          <w:rFonts w:ascii="Cambria" w:hAnsi="Cambria"/>
        </w:rPr>
        <w:t>, we achieved our goal.</w:t>
      </w:r>
      <w:r w:rsidR="00F625C3">
        <w:rPr>
          <w:rFonts w:ascii="Cambria" w:hAnsi="Cambria"/>
        </w:rPr>
        <w:t xml:space="preserve"> </w:t>
      </w:r>
      <w:r w:rsidR="00FB6A1B">
        <w:rPr>
          <w:rFonts w:ascii="Cambria" w:hAnsi="Cambria"/>
        </w:rPr>
        <w:t xml:space="preserve">I am </w:t>
      </w:r>
      <w:r w:rsidR="00F20D80">
        <w:rPr>
          <w:rFonts w:ascii="Cambria" w:hAnsi="Cambria"/>
        </w:rPr>
        <w:t>grateful for everyone</w:t>
      </w:r>
      <w:r w:rsidR="00032999">
        <w:rPr>
          <w:rFonts w:ascii="Cambria" w:hAnsi="Cambria"/>
        </w:rPr>
        <w:t xml:space="preserve"> involved, including our team member</w:t>
      </w:r>
      <w:r w:rsidR="00F71469">
        <w:rPr>
          <w:rFonts w:ascii="Cambria" w:hAnsi="Cambria"/>
        </w:rPr>
        <w:t>s</w:t>
      </w:r>
      <w:r w:rsidR="00032999">
        <w:rPr>
          <w:rFonts w:ascii="Cambria" w:hAnsi="Cambria"/>
        </w:rPr>
        <w:t xml:space="preserve">, our member partners and our </w:t>
      </w:r>
      <w:r w:rsidR="00FB6A1B">
        <w:rPr>
          <w:rFonts w:ascii="Cambria" w:hAnsi="Cambria"/>
        </w:rPr>
        <w:t xml:space="preserve">Board of Directors for </w:t>
      </w:r>
      <w:r w:rsidR="00B934D9">
        <w:rPr>
          <w:rFonts w:ascii="Cambria" w:hAnsi="Cambria"/>
        </w:rPr>
        <w:t xml:space="preserve">their ongoing </w:t>
      </w:r>
      <w:r w:rsidR="00FB6A1B">
        <w:rPr>
          <w:rFonts w:ascii="Cambria" w:hAnsi="Cambria"/>
        </w:rPr>
        <w:t>collaborati</w:t>
      </w:r>
      <w:r w:rsidR="00B160B4">
        <w:rPr>
          <w:rFonts w:ascii="Cambria" w:hAnsi="Cambria"/>
        </w:rPr>
        <w:t>on</w:t>
      </w:r>
      <w:r w:rsidR="00FB6A1B">
        <w:rPr>
          <w:rFonts w:ascii="Cambria" w:hAnsi="Cambria"/>
        </w:rPr>
        <w:t>.”</w:t>
      </w:r>
    </w:p>
    <w:p w14:paraId="738EE9AD" w14:textId="77777777" w:rsidR="00D71118" w:rsidRDefault="00D71118" w:rsidP="00E04588">
      <w:pPr>
        <w:rPr>
          <w:rFonts w:ascii="Cambria" w:hAnsi="Cambria"/>
        </w:rPr>
      </w:pPr>
    </w:p>
    <w:p w14:paraId="1685FF6E" w14:textId="25028166" w:rsidR="00810730" w:rsidRDefault="00D305B8" w:rsidP="00810730">
      <w:pPr>
        <w:rPr>
          <w:rFonts w:ascii="Cambria" w:hAnsi="Cambria"/>
        </w:rPr>
      </w:pPr>
      <w:r w:rsidRPr="00143DCC">
        <w:rPr>
          <w:rFonts w:ascii="Cambria" w:hAnsi="Cambria"/>
        </w:rPr>
        <w:t xml:space="preserve">GLWA’s </w:t>
      </w:r>
      <w:r>
        <w:rPr>
          <w:rFonts w:ascii="Cambria" w:hAnsi="Cambria"/>
        </w:rPr>
        <w:t xml:space="preserve">seven-year </w:t>
      </w:r>
      <w:r w:rsidR="005126B4">
        <w:rPr>
          <w:rFonts w:ascii="Cambria" w:hAnsi="Cambria"/>
        </w:rPr>
        <w:t xml:space="preserve">annual </w:t>
      </w:r>
      <w:r w:rsidRPr="00143DCC">
        <w:rPr>
          <w:rFonts w:ascii="Cambria" w:hAnsi="Cambria"/>
        </w:rPr>
        <w:t>average system</w:t>
      </w:r>
      <w:r>
        <w:rPr>
          <w:rFonts w:ascii="Cambria" w:hAnsi="Cambria"/>
        </w:rPr>
        <w:t xml:space="preserve"> </w:t>
      </w:r>
      <w:r w:rsidRPr="000D2E48">
        <w:rPr>
          <w:rFonts w:ascii="Cambria" w:hAnsi="Cambria"/>
        </w:rPr>
        <w:t xml:space="preserve">charge adjustment for </w:t>
      </w:r>
      <w:r>
        <w:rPr>
          <w:rFonts w:ascii="Cambria" w:hAnsi="Cambria"/>
        </w:rPr>
        <w:t xml:space="preserve">the </w:t>
      </w:r>
      <w:r w:rsidRPr="000D2E48">
        <w:rPr>
          <w:rFonts w:ascii="Cambria" w:hAnsi="Cambria"/>
        </w:rPr>
        <w:t xml:space="preserve">water </w:t>
      </w:r>
      <w:r>
        <w:rPr>
          <w:rFonts w:ascii="Cambria" w:hAnsi="Cambria"/>
        </w:rPr>
        <w:t xml:space="preserve">system </w:t>
      </w:r>
      <w:r w:rsidRPr="000D2E48">
        <w:rPr>
          <w:rFonts w:ascii="Cambria" w:hAnsi="Cambria"/>
        </w:rPr>
        <w:t xml:space="preserve">is </w:t>
      </w:r>
      <w:r>
        <w:rPr>
          <w:rFonts w:ascii="Cambria" w:hAnsi="Cambria"/>
        </w:rPr>
        <w:t>2.2 percent, and 0.9 percent for the wastewater</w:t>
      </w:r>
      <w:r w:rsidRPr="000D2E48">
        <w:rPr>
          <w:rFonts w:ascii="Cambria" w:hAnsi="Cambria"/>
        </w:rPr>
        <w:t xml:space="preserve"> </w:t>
      </w:r>
      <w:r>
        <w:rPr>
          <w:rFonts w:ascii="Cambria" w:hAnsi="Cambria"/>
        </w:rPr>
        <w:t>system</w:t>
      </w:r>
      <w:r w:rsidRPr="000D2E48">
        <w:rPr>
          <w:rFonts w:ascii="Cambria" w:hAnsi="Cambria"/>
        </w:rPr>
        <w:t>.</w:t>
      </w:r>
      <w:r>
        <w:rPr>
          <w:rFonts w:ascii="Cambria" w:hAnsi="Cambria"/>
        </w:rPr>
        <w:t xml:space="preserve"> </w:t>
      </w:r>
      <w:r w:rsidR="004A44D1">
        <w:rPr>
          <w:rFonts w:ascii="Cambria" w:hAnsi="Cambria"/>
        </w:rPr>
        <w:t xml:space="preserve">It is important to note that GLWA’s average annual </w:t>
      </w:r>
      <w:r w:rsidR="008E1528">
        <w:rPr>
          <w:rFonts w:ascii="Cambria" w:hAnsi="Cambria"/>
        </w:rPr>
        <w:t>charge adjustment, over a seven-year period, is lower than the Consumer Price Index</w:t>
      </w:r>
      <w:r w:rsidR="00F352C1">
        <w:rPr>
          <w:rFonts w:ascii="Cambria" w:hAnsi="Cambria"/>
        </w:rPr>
        <w:t xml:space="preserve"> for Utilities (CPI-U)</w:t>
      </w:r>
      <w:r w:rsidR="004F5413">
        <w:rPr>
          <w:rFonts w:ascii="Cambria" w:hAnsi="Cambria"/>
        </w:rPr>
        <w:t>.</w:t>
      </w:r>
    </w:p>
    <w:p w14:paraId="35FAD0D6" w14:textId="7670DA63" w:rsidR="00796944" w:rsidRDefault="00796944" w:rsidP="00796944">
      <w:pPr>
        <w:rPr>
          <w:rFonts w:ascii="Cambria" w:hAnsi="Cambria"/>
        </w:rPr>
      </w:pPr>
      <w:r w:rsidRPr="00A446E1">
        <w:rPr>
          <w:rFonts w:ascii="Cambria" w:hAnsi="Cambria"/>
        </w:rPr>
        <w:lastRenderedPageBreak/>
        <w:t xml:space="preserve">The </w:t>
      </w:r>
      <w:r>
        <w:rPr>
          <w:rFonts w:ascii="Cambria" w:hAnsi="Cambria"/>
        </w:rPr>
        <w:t>water and wastewater</w:t>
      </w:r>
      <w:r w:rsidRPr="00A446E1">
        <w:rPr>
          <w:rFonts w:ascii="Cambria" w:hAnsi="Cambria"/>
        </w:rPr>
        <w:t xml:space="preserve"> </w:t>
      </w:r>
      <w:hyperlink r:id="rId12">
        <w:r w:rsidRPr="7112E51A">
          <w:rPr>
            <w:rStyle w:val="Hyperlink"/>
            <w:rFonts w:ascii="Cambria" w:hAnsi="Cambria"/>
          </w:rPr>
          <w:t>charges set by GLWA</w:t>
        </w:r>
      </w:hyperlink>
      <w:r w:rsidRPr="00A446E1">
        <w:rPr>
          <w:rFonts w:ascii="Cambria" w:hAnsi="Cambria"/>
        </w:rPr>
        <w:t xml:space="preserve"> cover all the Authority’s costs of providing water and </w:t>
      </w:r>
      <w:r>
        <w:rPr>
          <w:rFonts w:ascii="Cambria" w:hAnsi="Cambria"/>
        </w:rPr>
        <w:t>wastewater</w:t>
      </w:r>
      <w:r w:rsidRPr="00A446E1">
        <w:rPr>
          <w:rFonts w:ascii="Cambria" w:hAnsi="Cambria"/>
        </w:rPr>
        <w:t xml:space="preserve"> services</w:t>
      </w:r>
      <w:r>
        <w:rPr>
          <w:rFonts w:ascii="Cambria" w:hAnsi="Cambria"/>
        </w:rPr>
        <w:t>.</w:t>
      </w:r>
      <w:r w:rsidRPr="00054616">
        <w:rPr>
          <w:rFonts w:ascii="Cambria" w:hAnsi="Cambria"/>
        </w:rPr>
        <w:t xml:space="preserve"> </w:t>
      </w:r>
      <w:r w:rsidRPr="009411F7">
        <w:rPr>
          <w:rFonts w:ascii="Cambria" w:hAnsi="Cambria"/>
        </w:rPr>
        <w:t>This includes pumping stations, transmission pipes, and treatment plant maintenance and renewal, as well as paying debt service on outstanding bonds issued to fund ongoing capital improvements to the system’s vast infrastructure.</w:t>
      </w:r>
    </w:p>
    <w:p w14:paraId="3387EFD2" w14:textId="77777777" w:rsidR="00810730" w:rsidRDefault="00810730" w:rsidP="00D71118">
      <w:pPr>
        <w:rPr>
          <w:rFonts w:ascii="Cambria" w:hAnsi="Cambria"/>
        </w:rPr>
      </w:pPr>
    </w:p>
    <w:p w14:paraId="5D201F95" w14:textId="5D6580E0" w:rsidR="004921D8" w:rsidRPr="0081460E" w:rsidRDefault="00C20A54" w:rsidP="004921D8">
      <w:pPr>
        <w:rPr>
          <w:rFonts w:ascii="Cambria" w:hAnsi="Cambria" w:cs="Times New Roman"/>
          <w:iCs/>
        </w:rPr>
      </w:pPr>
      <w:r w:rsidRPr="51488B90">
        <w:rPr>
          <w:rFonts w:ascii="Cambria" w:hAnsi="Cambria"/>
        </w:rPr>
        <w:t xml:space="preserve">Individual member partner communities will see </w:t>
      </w:r>
      <w:r w:rsidR="00F16CD2">
        <w:rPr>
          <w:rFonts w:ascii="Cambria" w:hAnsi="Cambria"/>
        </w:rPr>
        <w:t xml:space="preserve">wastewater </w:t>
      </w:r>
      <w:r w:rsidR="004A10F8" w:rsidRPr="51488B90">
        <w:rPr>
          <w:rFonts w:ascii="Cambria" w:hAnsi="Cambria"/>
        </w:rPr>
        <w:t xml:space="preserve">system </w:t>
      </w:r>
      <w:r w:rsidRPr="51488B90">
        <w:rPr>
          <w:rFonts w:ascii="Cambria" w:hAnsi="Cambria"/>
        </w:rPr>
        <w:t xml:space="preserve">charge adjustments </w:t>
      </w:r>
      <w:r w:rsidR="0047224E" w:rsidRPr="51488B90">
        <w:rPr>
          <w:rFonts w:ascii="Cambria" w:hAnsi="Cambria"/>
        </w:rPr>
        <w:t xml:space="preserve">consistent with </w:t>
      </w:r>
      <w:r w:rsidR="004A10F8" w:rsidRPr="51488B90">
        <w:rPr>
          <w:rFonts w:ascii="Cambria" w:hAnsi="Cambria"/>
        </w:rPr>
        <w:t>the system average of 2.75 percent</w:t>
      </w:r>
      <w:r w:rsidR="0047224E" w:rsidRPr="51488B90">
        <w:rPr>
          <w:rFonts w:ascii="Cambria" w:hAnsi="Cambria"/>
        </w:rPr>
        <w:t xml:space="preserve">. </w:t>
      </w:r>
      <w:r w:rsidR="007A23E4" w:rsidRPr="51488B90">
        <w:rPr>
          <w:rFonts w:ascii="Cambria" w:hAnsi="Cambria"/>
        </w:rPr>
        <w:t xml:space="preserve">Water </w:t>
      </w:r>
      <w:r w:rsidR="003847F5" w:rsidRPr="51488B90">
        <w:rPr>
          <w:rFonts w:ascii="Cambria" w:hAnsi="Cambria"/>
        </w:rPr>
        <w:t xml:space="preserve">system </w:t>
      </w:r>
      <w:r w:rsidRPr="51488B90">
        <w:rPr>
          <w:rFonts w:ascii="Cambria" w:hAnsi="Cambria"/>
        </w:rPr>
        <w:t xml:space="preserve">charge adjustments </w:t>
      </w:r>
      <w:r w:rsidR="007A23E4" w:rsidRPr="51488B90">
        <w:rPr>
          <w:rFonts w:ascii="Cambria" w:hAnsi="Cambria"/>
        </w:rPr>
        <w:t>for most member part</w:t>
      </w:r>
      <w:r w:rsidR="004F5413" w:rsidRPr="51488B90">
        <w:rPr>
          <w:rFonts w:ascii="Cambria" w:hAnsi="Cambria"/>
        </w:rPr>
        <w:t>ner</w:t>
      </w:r>
      <w:r w:rsidR="007A23E4" w:rsidRPr="51488B90">
        <w:rPr>
          <w:rFonts w:ascii="Cambria" w:hAnsi="Cambria"/>
        </w:rPr>
        <w:t xml:space="preserve"> communities will be </w:t>
      </w:r>
      <w:r w:rsidRPr="51488B90">
        <w:rPr>
          <w:rFonts w:ascii="Cambria" w:hAnsi="Cambria"/>
        </w:rPr>
        <w:t>different from the system average</w:t>
      </w:r>
      <w:r w:rsidR="003847F5" w:rsidRPr="51488B90">
        <w:rPr>
          <w:rFonts w:ascii="Cambria" w:hAnsi="Cambria"/>
        </w:rPr>
        <w:t xml:space="preserve"> of 2.75</w:t>
      </w:r>
      <w:r w:rsidR="00B7456E" w:rsidRPr="51488B90">
        <w:rPr>
          <w:rFonts w:ascii="Cambria" w:hAnsi="Cambria"/>
        </w:rPr>
        <w:t xml:space="preserve"> percent</w:t>
      </w:r>
      <w:r w:rsidR="00964CA3" w:rsidRPr="51488B90">
        <w:rPr>
          <w:rFonts w:ascii="Cambria" w:hAnsi="Cambria"/>
        </w:rPr>
        <w:t>.</w:t>
      </w:r>
      <w:r w:rsidR="000860A2" w:rsidRPr="51488B90">
        <w:rPr>
          <w:rFonts w:ascii="Cambria" w:hAnsi="Cambria"/>
        </w:rPr>
        <w:t xml:space="preserve"> </w:t>
      </w:r>
      <w:r w:rsidR="004921D8" w:rsidRPr="51488B90">
        <w:rPr>
          <w:rFonts w:ascii="Cambria" w:hAnsi="Cambria"/>
        </w:rPr>
        <w:t xml:space="preserve">This is because, </w:t>
      </w:r>
      <w:r w:rsidR="003831C2" w:rsidRPr="51488B90">
        <w:rPr>
          <w:rFonts w:ascii="Cambria" w:hAnsi="Cambria"/>
        </w:rPr>
        <w:t xml:space="preserve">for </w:t>
      </w:r>
      <w:r w:rsidR="004921D8" w:rsidRPr="51488B90">
        <w:rPr>
          <w:rFonts w:ascii="Cambria" w:hAnsi="Cambria"/>
        </w:rPr>
        <w:t>the first time</w:t>
      </w:r>
      <w:r w:rsidR="003831C2" w:rsidRPr="51488B90">
        <w:rPr>
          <w:rFonts w:ascii="Cambria" w:hAnsi="Cambria"/>
        </w:rPr>
        <w:t>,</w:t>
      </w:r>
      <w:r w:rsidR="004921D8" w:rsidRPr="51488B90">
        <w:rPr>
          <w:rFonts w:ascii="Cambria" w:hAnsi="Cambria"/>
        </w:rPr>
        <w:t xml:space="preserve"> water contract demands for nearly all 88 member partner communities were renegotiated in the same year</w:t>
      </w:r>
      <w:r w:rsidR="003831C2" w:rsidRPr="51488B90">
        <w:rPr>
          <w:rFonts w:ascii="Cambria" w:hAnsi="Cambria"/>
        </w:rPr>
        <w:t>. This</w:t>
      </w:r>
      <w:r w:rsidR="004921D8" w:rsidRPr="51488B90">
        <w:rPr>
          <w:rFonts w:ascii="Cambria" w:hAnsi="Cambria"/>
        </w:rPr>
        <w:t xml:space="preserve"> process</w:t>
      </w:r>
      <w:r w:rsidR="00964CA3" w:rsidRPr="51488B90">
        <w:rPr>
          <w:rFonts w:ascii="Cambria" w:hAnsi="Cambria"/>
        </w:rPr>
        <w:t xml:space="preserve">, </w:t>
      </w:r>
      <w:r w:rsidR="00964CA3" w:rsidRPr="51488B90">
        <w:rPr>
          <w:rFonts w:ascii="Cambria" w:hAnsi="Cambria" w:cs="Times New Roman"/>
        </w:rPr>
        <w:t>which is called the Contract Alignment Process (CAP)</w:t>
      </w:r>
      <w:r w:rsidR="008A16AE" w:rsidRPr="51488B90">
        <w:rPr>
          <w:rFonts w:ascii="Cambria" w:hAnsi="Cambria" w:cs="Times New Roman"/>
        </w:rPr>
        <w:t>,</w:t>
      </w:r>
      <w:r w:rsidR="004921D8" w:rsidRPr="51488B90">
        <w:rPr>
          <w:rFonts w:ascii="Cambria" w:hAnsi="Cambria"/>
        </w:rPr>
        <w:t xml:space="preserve"> </w:t>
      </w:r>
      <w:r w:rsidR="004921D8" w:rsidRPr="51488B90">
        <w:rPr>
          <w:rFonts w:ascii="Cambria" w:hAnsi="Cambria" w:cs="Times New Roman"/>
        </w:rPr>
        <w:t xml:space="preserve">aims to get all members on the same four-year </w:t>
      </w:r>
      <w:r w:rsidR="004B42A3" w:rsidRPr="51488B90">
        <w:rPr>
          <w:rFonts w:ascii="Cambria" w:hAnsi="Cambria" w:cs="Times New Roman"/>
        </w:rPr>
        <w:t>update cycle for water demands</w:t>
      </w:r>
      <w:r w:rsidR="004921D8" w:rsidRPr="51488B90">
        <w:rPr>
          <w:rFonts w:ascii="Cambria" w:hAnsi="Cambria" w:cs="Times New Roman"/>
        </w:rPr>
        <w:t xml:space="preserve">. The previous approach resulted in variability every year, even for those member partners whose demands had not been updated. Member partner communities found variability challenging and sought greater stability. </w:t>
      </w:r>
      <w:r w:rsidR="004626BD" w:rsidRPr="51488B90">
        <w:rPr>
          <w:rFonts w:ascii="Cambria" w:hAnsi="Cambria" w:cs="Times New Roman"/>
        </w:rPr>
        <w:t xml:space="preserve">The FY 2024 </w:t>
      </w:r>
      <w:r w:rsidR="007D2CC4">
        <w:rPr>
          <w:rFonts w:ascii="Cambria" w:hAnsi="Cambria" w:cs="Times New Roman"/>
        </w:rPr>
        <w:t>w</w:t>
      </w:r>
      <w:r w:rsidR="004626BD" w:rsidRPr="51488B90">
        <w:rPr>
          <w:rFonts w:ascii="Cambria" w:hAnsi="Cambria" w:cs="Times New Roman"/>
        </w:rPr>
        <w:t xml:space="preserve">ater </w:t>
      </w:r>
      <w:r w:rsidR="007D2CC4">
        <w:rPr>
          <w:rFonts w:ascii="Cambria" w:hAnsi="Cambria" w:cs="Times New Roman"/>
        </w:rPr>
        <w:t>s</w:t>
      </w:r>
      <w:r w:rsidR="004626BD" w:rsidRPr="51488B90">
        <w:rPr>
          <w:rFonts w:ascii="Cambria" w:hAnsi="Cambria" w:cs="Times New Roman"/>
        </w:rPr>
        <w:t xml:space="preserve">ystem charges reflect the every-four-year “reset” in shares based on the contract alignment process for </w:t>
      </w:r>
      <w:r w:rsidR="1DEC4263" w:rsidRPr="51488B90">
        <w:rPr>
          <w:rFonts w:ascii="Cambria" w:hAnsi="Cambria" w:cs="Times New Roman"/>
        </w:rPr>
        <w:t xml:space="preserve">nearly </w:t>
      </w:r>
      <w:r w:rsidR="004626BD" w:rsidRPr="51488B90">
        <w:rPr>
          <w:rFonts w:ascii="Cambria" w:hAnsi="Cambria" w:cs="Times New Roman"/>
        </w:rPr>
        <w:t>all water member partner</w:t>
      </w:r>
      <w:r w:rsidR="78D5B32F" w:rsidRPr="51488B90">
        <w:rPr>
          <w:rFonts w:ascii="Cambria" w:hAnsi="Cambria" w:cs="Times New Roman"/>
        </w:rPr>
        <w:t xml:space="preserve"> communitie</w:t>
      </w:r>
      <w:r w:rsidR="004626BD" w:rsidRPr="51488B90">
        <w:rPr>
          <w:rFonts w:ascii="Cambria" w:hAnsi="Cambria" w:cs="Times New Roman"/>
        </w:rPr>
        <w:t xml:space="preserve">s, effectively concentrating </w:t>
      </w:r>
      <w:r w:rsidR="004921D8" w:rsidRPr="51488B90">
        <w:rPr>
          <w:rFonts w:ascii="Cambria" w:hAnsi="Cambria" w:cs="Times New Roman"/>
        </w:rPr>
        <w:t xml:space="preserve">the variability in a single year. </w:t>
      </w:r>
    </w:p>
    <w:p w14:paraId="6C026BED" w14:textId="34687311" w:rsidR="004921D8" w:rsidRDefault="004921D8" w:rsidP="006058FE">
      <w:pPr>
        <w:rPr>
          <w:rFonts w:ascii="Cambria" w:hAnsi="Cambria"/>
        </w:rPr>
      </w:pPr>
    </w:p>
    <w:p w14:paraId="30C48669" w14:textId="06ABEA03" w:rsidR="00C13545" w:rsidRPr="0040529D" w:rsidRDefault="00C13545" w:rsidP="00C13545">
      <w:pPr>
        <w:rPr>
          <w:rFonts w:ascii="Cambria" w:hAnsi="Cambria" w:cs="Times New Roman"/>
          <w:iCs/>
        </w:rPr>
      </w:pPr>
      <w:r w:rsidRPr="0040529D">
        <w:rPr>
          <w:rFonts w:ascii="Cambria" w:hAnsi="Cambria" w:cs="Times New Roman"/>
          <w:iCs/>
        </w:rPr>
        <w:t>“</w:t>
      </w:r>
      <w:r>
        <w:rPr>
          <w:rFonts w:ascii="Cambria" w:hAnsi="Cambria" w:cs="Times New Roman"/>
          <w:iCs/>
        </w:rPr>
        <w:t xml:space="preserve">We worked closely with </w:t>
      </w:r>
      <w:r w:rsidRPr="0040529D">
        <w:rPr>
          <w:rFonts w:ascii="Cambria" w:hAnsi="Cambria" w:cs="Times New Roman"/>
          <w:iCs/>
        </w:rPr>
        <w:t>our member</w:t>
      </w:r>
      <w:r>
        <w:rPr>
          <w:rFonts w:ascii="Cambria" w:hAnsi="Cambria" w:cs="Times New Roman"/>
          <w:iCs/>
        </w:rPr>
        <w:t xml:space="preserve"> partners</w:t>
      </w:r>
      <w:r w:rsidRPr="0040529D">
        <w:rPr>
          <w:rFonts w:ascii="Cambria" w:hAnsi="Cambria" w:cs="Times New Roman"/>
          <w:iCs/>
        </w:rPr>
        <w:t xml:space="preserve"> to identify a solution to maximize stability and</w:t>
      </w:r>
      <w:r>
        <w:rPr>
          <w:rFonts w:ascii="Cambria" w:hAnsi="Cambria" w:cs="Times New Roman"/>
          <w:iCs/>
        </w:rPr>
        <w:t xml:space="preserve"> </w:t>
      </w:r>
      <w:r w:rsidR="001A72F1">
        <w:rPr>
          <w:rFonts w:ascii="Cambria" w:hAnsi="Cambria" w:cs="Times New Roman"/>
          <w:iCs/>
        </w:rPr>
        <w:t>contain</w:t>
      </w:r>
      <w:r w:rsidRPr="0040529D">
        <w:rPr>
          <w:rFonts w:ascii="Cambria" w:hAnsi="Cambria" w:cs="Times New Roman"/>
          <w:iCs/>
        </w:rPr>
        <w:t xml:space="preserve"> the variability </w:t>
      </w:r>
      <w:r w:rsidR="001A72F1">
        <w:rPr>
          <w:rFonts w:ascii="Cambria" w:hAnsi="Cambria" w:cs="Times New Roman"/>
          <w:iCs/>
        </w:rPr>
        <w:t>to</w:t>
      </w:r>
      <w:r w:rsidRPr="0040529D">
        <w:rPr>
          <w:rFonts w:ascii="Cambria" w:hAnsi="Cambria" w:cs="Times New Roman"/>
          <w:iCs/>
        </w:rPr>
        <w:t xml:space="preserve"> a single year in order to enjoy relative stability </w:t>
      </w:r>
      <w:r>
        <w:rPr>
          <w:rFonts w:ascii="Cambria" w:hAnsi="Cambria" w:cs="Times New Roman"/>
          <w:iCs/>
        </w:rPr>
        <w:t>over four years</w:t>
      </w:r>
      <w:r w:rsidRPr="0040529D">
        <w:rPr>
          <w:rFonts w:ascii="Cambria" w:hAnsi="Cambria" w:cs="Times New Roman"/>
          <w:iCs/>
        </w:rPr>
        <w:t>,” said Nicolette Bateson, Chief Financial Officer and Treasure</w:t>
      </w:r>
      <w:r>
        <w:rPr>
          <w:rFonts w:ascii="Cambria" w:hAnsi="Cambria" w:cs="Times New Roman"/>
          <w:iCs/>
        </w:rPr>
        <w:t>r</w:t>
      </w:r>
      <w:r w:rsidRPr="0040529D">
        <w:rPr>
          <w:rFonts w:ascii="Cambria" w:hAnsi="Cambria" w:cs="Times New Roman"/>
          <w:iCs/>
        </w:rPr>
        <w:t xml:space="preserve">, GLWA. “We </w:t>
      </w:r>
      <w:r>
        <w:rPr>
          <w:rFonts w:ascii="Cambria" w:hAnsi="Cambria" w:cs="Times New Roman"/>
          <w:iCs/>
        </w:rPr>
        <w:t>value</w:t>
      </w:r>
      <w:r w:rsidRPr="0040529D">
        <w:rPr>
          <w:rFonts w:ascii="Cambria" w:hAnsi="Cambria" w:cs="Times New Roman"/>
          <w:iCs/>
        </w:rPr>
        <w:t xml:space="preserve"> our member partners</w:t>
      </w:r>
      <w:r w:rsidR="007A7B98">
        <w:rPr>
          <w:rFonts w:ascii="Cambria" w:hAnsi="Cambria" w:cs="Times New Roman"/>
          <w:iCs/>
        </w:rPr>
        <w:t>’</w:t>
      </w:r>
      <w:r w:rsidRPr="0040529D">
        <w:rPr>
          <w:rFonts w:ascii="Cambria" w:hAnsi="Cambria" w:cs="Times New Roman"/>
          <w:iCs/>
        </w:rPr>
        <w:t xml:space="preserve"> collaboration and </w:t>
      </w:r>
      <w:r>
        <w:rPr>
          <w:rFonts w:ascii="Cambria" w:hAnsi="Cambria" w:cs="Times New Roman"/>
          <w:iCs/>
        </w:rPr>
        <w:t>will</w:t>
      </w:r>
      <w:r w:rsidRPr="0040529D">
        <w:rPr>
          <w:rFonts w:ascii="Cambria" w:hAnsi="Cambria" w:cs="Times New Roman"/>
          <w:iCs/>
        </w:rPr>
        <w:t xml:space="preserve"> continue to be </w:t>
      </w:r>
      <w:r>
        <w:rPr>
          <w:rFonts w:ascii="Cambria" w:hAnsi="Cambria" w:cs="Times New Roman"/>
          <w:iCs/>
        </w:rPr>
        <w:t xml:space="preserve">transparent and engaged with </w:t>
      </w:r>
      <w:r w:rsidRPr="0040529D">
        <w:rPr>
          <w:rFonts w:ascii="Cambria" w:hAnsi="Cambria" w:cs="Times New Roman"/>
          <w:iCs/>
        </w:rPr>
        <w:t xml:space="preserve">our members </w:t>
      </w:r>
      <w:r>
        <w:rPr>
          <w:rFonts w:ascii="Cambria" w:hAnsi="Cambria" w:cs="Times New Roman"/>
          <w:iCs/>
        </w:rPr>
        <w:t>in navigating budgets and charges</w:t>
      </w:r>
      <w:r w:rsidRPr="0040529D">
        <w:rPr>
          <w:rFonts w:ascii="Cambria" w:hAnsi="Cambria" w:cs="Times New Roman"/>
          <w:iCs/>
        </w:rPr>
        <w:t>.”</w:t>
      </w:r>
    </w:p>
    <w:p w14:paraId="7E653C7D" w14:textId="77777777" w:rsidR="00C13545" w:rsidRDefault="00C13545" w:rsidP="00C13545">
      <w:pPr>
        <w:rPr>
          <w:rFonts w:ascii="Cambria" w:hAnsi="Cambria"/>
        </w:rPr>
      </w:pPr>
    </w:p>
    <w:p w14:paraId="15FC0F74" w14:textId="4751CF6B" w:rsidR="006058FE" w:rsidRPr="00FD7195" w:rsidRDefault="00B52041" w:rsidP="006058FE">
      <w:pPr>
        <w:rPr>
          <w:rFonts w:ascii="Cambria" w:hAnsi="Cambria"/>
        </w:rPr>
      </w:pPr>
      <w:r>
        <w:rPr>
          <w:rFonts w:ascii="Cambria" w:hAnsi="Cambria"/>
        </w:rPr>
        <w:t>It is important to note that</w:t>
      </w:r>
      <w:r w:rsidR="000860A2">
        <w:rPr>
          <w:rFonts w:ascii="Cambria" w:hAnsi="Cambria"/>
        </w:rPr>
        <w:t xml:space="preserve"> </w:t>
      </w:r>
      <w:r w:rsidR="00D71118" w:rsidRPr="3711910F">
        <w:rPr>
          <w:rFonts w:ascii="Cambria" w:hAnsi="Cambria"/>
        </w:rPr>
        <w:t xml:space="preserve">GLWA charges are only one element of what local residents and business owners see on their bill. Each municipality has its own added costs associated with maintaining its </w:t>
      </w:r>
      <w:r w:rsidR="001D7459">
        <w:rPr>
          <w:rFonts w:ascii="Cambria" w:hAnsi="Cambria"/>
        </w:rPr>
        <w:t xml:space="preserve">local </w:t>
      </w:r>
      <w:r w:rsidR="00D71118" w:rsidRPr="3711910F">
        <w:rPr>
          <w:rFonts w:ascii="Cambria" w:hAnsi="Cambria"/>
        </w:rPr>
        <w:t>system, which can mean that GLWA’s charges may be a larger or smaller percentage of the total cost of a local community’s water expenses. Ultimately, each individual member partner community sets the end cost</w:t>
      </w:r>
      <w:r w:rsidR="00D71118">
        <w:rPr>
          <w:rFonts w:ascii="Cambria" w:hAnsi="Cambria"/>
        </w:rPr>
        <w:t>, or local rates,</w:t>
      </w:r>
      <w:r w:rsidR="00D71118" w:rsidRPr="3711910F">
        <w:rPr>
          <w:rFonts w:ascii="Cambria" w:hAnsi="Cambria"/>
        </w:rPr>
        <w:t xml:space="preserve"> passed along to </w:t>
      </w:r>
      <w:r w:rsidR="00D71118">
        <w:rPr>
          <w:rFonts w:ascii="Cambria" w:hAnsi="Cambria"/>
        </w:rPr>
        <w:t>residents</w:t>
      </w:r>
      <w:r w:rsidR="004C347F">
        <w:rPr>
          <w:rFonts w:ascii="Cambria" w:hAnsi="Cambria"/>
        </w:rPr>
        <w:t xml:space="preserve"> and businesses</w:t>
      </w:r>
      <w:r w:rsidR="00D71118" w:rsidRPr="3711910F">
        <w:rPr>
          <w:rFonts w:ascii="Cambria" w:hAnsi="Cambria"/>
        </w:rPr>
        <w:t>.</w:t>
      </w:r>
      <w:r w:rsidR="006058FE">
        <w:rPr>
          <w:rFonts w:ascii="Cambria" w:hAnsi="Cambria"/>
        </w:rPr>
        <w:t xml:space="preserve"> More </w:t>
      </w:r>
      <w:r w:rsidR="004C347F">
        <w:rPr>
          <w:rFonts w:ascii="Cambria" w:hAnsi="Cambria"/>
        </w:rPr>
        <w:t>info</w:t>
      </w:r>
      <w:r w:rsidR="00E75DCC">
        <w:rPr>
          <w:rFonts w:ascii="Cambria" w:hAnsi="Cambria"/>
        </w:rPr>
        <w:t>r</w:t>
      </w:r>
      <w:r w:rsidR="004C347F">
        <w:rPr>
          <w:rFonts w:ascii="Cambria" w:hAnsi="Cambria"/>
        </w:rPr>
        <w:t>mation</w:t>
      </w:r>
      <w:r w:rsidR="006058FE">
        <w:rPr>
          <w:rFonts w:ascii="Cambria" w:hAnsi="Cambria"/>
        </w:rPr>
        <w:t xml:space="preserve"> on how charges are set can be found </w:t>
      </w:r>
      <w:hyperlink r:id="rId13" w:history="1">
        <w:r w:rsidR="006058FE" w:rsidRPr="00872292">
          <w:rPr>
            <w:rStyle w:val="Hyperlink"/>
            <w:rFonts w:ascii="Cambria" w:hAnsi="Cambria"/>
          </w:rPr>
          <w:t>here</w:t>
        </w:r>
      </w:hyperlink>
      <w:r w:rsidR="006058FE">
        <w:rPr>
          <w:rFonts w:ascii="Cambria" w:hAnsi="Cambria"/>
        </w:rPr>
        <w:t xml:space="preserve">. </w:t>
      </w:r>
    </w:p>
    <w:p w14:paraId="66BBE76B" w14:textId="77777777" w:rsidR="00CB75BD" w:rsidRDefault="00CB75BD" w:rsidP="008B5179">
      <w:pPr>
        <w:rPr>
          <w:rFonts w:ascii="Cambria" w:hAnsi="Cambria"/>
        </w:rPr>
      </w:pPr>
    </w:p>
    <w:p w14:paraId="0C870A71" w14:textId="6B86F72B" w:rsidR="002C0015" w:rsidRPr="002971AA" w:rsidRDefault="002C0015" w:rsidP="002C0015">
      <w:pPr>
        <w:rPr>
          <w:rFonts w:ascii="Cambria" w:eastAsia="Cambria" w:hAnsi="Cambria" w:cs="Cambria"/>
          <w:color w:val="333333"/>
        </w:rPr>
      </w:pPr>
      <w:r w:rsidRPr="002971AA">
        <w:rPr>
          <w:rFonts w:ascii="Cambria" w:eastAsia="Cambria" w:hAnsi="Cambria" w:cs="Cambria"/>
          <w:color w:val="000000" w:themeColor="text1"/>
        </w:rPr>
        <w:t xml:space="preserve">For more information on GLWA, please visit </w:t>
      </w:r>
      <w:hyperlink r:id="rId14" w:history="1">
        <w:r w:rsidRPr="002971AA">
          <w:rPr>
            <w:rStyle w:val="Hyperlink"/>
            <w:rFonts w:ascii="Cambria" w:eastAsia="Cambria" w:hAnsi="Cambria" w:cs="Cambria"/>
          </w:rPr>
          <w:t>www.glwater.org</w:t>
        </w:r>
      </w:hyperlink>
      <w:r w:rsidRPr="002971AA">
        <w:rPr>
          <w:rFonts w:ascii="Cambria" w:eastAsia="Cambria" w:hAnsi="Cambria" w:cs="Cambria"/>
          <w:color w:val="333333"/>
        </w:rPr>
        <w:t xml:space="preserve">. </w:t>
      </w:r>
    </w:p>
    <w:p w14:paraId="6ABEDE78" w14:textId="77777777" w:rsidR="00B95F19" w:rsidRPr="00B95F19" w:rsidRDefault="00B95F19" w:rsidP="0002007E">
      <w:pPr>
        <w:rPr>
          <w:rFonts w:ascii="Cambria" w:hAnsi="Cambria"/>
        </w:rPr>
      </w:pPr>
    </w:p>
    <w:p w14:paraId="5FE067ED" w14:textId="419B45B1" w:rsidR="00515A94" w:rsidRDefault="00515A94" w:rsidP="00BF5715">
      <w:pPr>
        <w:jc w:val="center"/>
        <w:rPr>
          <w:rFonts w:ascii="Cambria" w:eastAsia="Cambria" w:hAnsi="Cambria" w:cs="Times New Roman"/>
        </w:rPr>
      </w:pPr>
      <w:r w:rsidRPr="00766395">
        <w:rPr>
          <w:rFonts w:ascii="Cambria" w:eastAsia="Cambria" w:hAnsi="Cambria" w:cs="Times New Roman"/>
        </w:rPr>
        <w:t>###</w:t>
      </w:r>
    </w:p>
    <w:p w14:paraId="7CCD7C73" w14:textId="77777777" w:rsidR="00C815E8" w:rsidRPr="00766395" w:rsidRDefault="00C815E8" w:rsidP="00BF5715">
      <w:pPr>
        <w:jc w:val="center"/>
        <w:rPr>
          <w:rFonts w:ascii="Cambria" w:eastAsia="Cambria" w:hAnsi="Cambria" w:cs="Times New Roman"/>
        </w:rPr>
      </w:pPr>
    </w:p>
    <w:p w14:paraId="2AFE6D0E" w14:textId="77777777" w:rsidR="00802193" w:rsidRPr="004E64B3" w:rsidRDefault="00802193" w:rsidP="00802193">
      <w:pPr>
        <w:rPr>
          <w:rFonts w:ascii="Cambria" w:eastAsia="MS Mincho" w:hAnsi="Cambria" w:cs="Times New Roman"/>
          <w:b/>
          <w:color w:val="000000"/>
        </w:rPr>
      </w:pPr>
      <w:r w:rsidRPr="004E64B3">
        <w:rPr>
          <w:rFonts w:ascii="Cambria" w:eastAsia="MS Mincho" w:hAnsi="Cambria" w:cs="Times New Roman"/>
          <w:b/>
          <w:color w:val="000000"/>
        </w:rPr>
        <w:t xml:space="preserve">About the Great Lakes Water Authority (GLWA) </w:t>
      </w:r>
    </w:p>
    <w:p w14:paraId="7DAA7452" w14:textId="77777777" w:rsidR="00802193" w:rsidRPr="004E64B3" w:rsidRDefault="00802193" w:rsidP="00802193">
      <w:pPr>
        <w:rPr>
          <w:rFonts w:ascii="Cambria" w:eastAsia="MS Mincho" w:hAnsi="Cambria" w:cs="Times New Roman"/>
          <w:color w:val="000000"/>
        </w:rPr>
      </w:pPr>
      <w:r w:rsidRPr="004E64B3">
        <w:rPr>
          <w:rFonts w:ascii="Cambria" w:eastAsia="MS Mincho" w:hAnsi="Cambria" w:cs="Times New Roman"/>
          <w:color w:val="000000"/>
        </w:rPr>
        <w:t xml:space="preserve">The Great Lakes Water Authority (GLWA) is the provider-of-choice for drinking water services to nearly 40 percent, and efficient and effective wastewater services to nearly 30 percent, of Michigan’s population. With the Great Lakes as source water, GLWA is uniquely positioned to provide those it serves with water of unquestionable quality. GLWA also has the capacity to extend its services beyond its 88 member partner communities. As part of its commitment to water affordability, the Authority offers a Water Residential Assistance Program to assist low-income households in participating member communities throughout the system. GLWA’s board includes one representative each from Oakland, Macomb, and Wayne counties, two representatives from the city of Detroit, and one </w:t>
      </w:r>
      <w:r w:rsidRPr="004E64B3">
        <w:rPr>
          <w:rFonts w:ascii="Cambria" w:eastAsia="MS Mincho" w:hAnsi="Cambria" w:cs="Times New Roman"/>
          <w:color w:val="000000"/>
        </w:rPr>
        <w:lastRenderedPageBreak/>
        <w:t>appointed by the Michigan governor to represent member partner communities outside of the tri-county area.</w:t>
      </w:r>
    </w:p>
    <w:p w14:paraId="714C071E" w14:textId="3B1E460A" w:rsidR="006E26E5" w:rsidRPr="00047BEB" w:rsidRDefault="006E26E5" w:rsidP="00802193">
      <w:pPr>
        <w:rPr>
          <w:rFonts w:ascii="Cambria" w:hAnsi="Cambria"/>
        </w:rPr>
      </w:pPr>
    </w:p>
    <w:sectPr w:rsidR="006E26E5" w:rsidRPr="00047BEB" w:rsidSect="008D76BF">
      <w:footerReference w:type="default" r:id="rId15"/>
      <w:headerReference w:type="first" r:id="rId16"/>
      <w:footerReference w:type="first" r:id="rId17"/>
      <w:type w:val="continuous"/>
      <w:pgSz w:w="12240" w:h="15840"/>
      <w:pgMar w:top="1440" w:right="1440" w:bottom="144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76195" w14:textId="77777777" w:rsidR="005B6F97" w:rsidRDefault="005B6F97" w:rsidP="008D76BF">
      <w:r>
        <w:separator/>
      </w:r>
    </w:p>
  </w:endnote>
  <w:endnote w:type="continuationSeparator" w:id="0">
    <w:p w14:paraId="4D0AC756" w14:textId="77777777" w:rsidR="005B6F97" w:rsidRDefault="005B6F97" w:rsidP="008D76BF">
      <w:r>
        <w:continuationSeparator/>
      </w:r>
    </w:p>
  </w:endnote>
  <w:endnote w:type="continuationNotice" w:id="1">
    <w:p w14:paraId="307CE371" w14:textId="77777777" w:rsidR="005B6F97" w:rsidRDefault="005B6F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636919"/>
      <w:docPartObj>
        <w:docPartGallery w:val="Page Numbers (Bottom of Page)"/>
        <w:docPartUnique/>
      </w:docPartObj>
    </w:sdtPr>
    <w:sdtEndPr>
      <w:rPr>
        <w:noProof/>
      </w:rPr>
    </w:sdtEndPr>
    <w:sdtContent>
      <w:p w14:paraId="2BEB0601" w14:textId="1134C9CF" w:rsidR="00023967" w:rsidRDefault="00023967">
        <w:pPr>
          <w:pStyle w:val="Footer"/>
          <w:jc w:val="center"/>
        </w:pPr>
        <w:r>
          <w:fldChar w:fldCharType="begin"/>
        </w:r>
        <w:r>
          <w:instrText xml:space="preserve"> PAGE   \* MERGEFORMAT </w:instrText>
        </w:r>
        <w:r>
          <w:fldChar w:fldCharType="separate"/>
        </w:r>
        <w:r w:rsidR="00295BF4">
          <w:rPr>
            <w:noProof/>
          </w:rPr>
          <w:t>2</w:t>
        </w:r>
        <w:r>
          <w:rPr>
            <w:noProof/>
          </w:rPr>
          <w:fldChar w:fldCharType="end"/>
        </w:r>
      </w:p>
    </w:sdtContent>
  </w:sdt>
  <w:p w14:paraId="725227E8" w14:textId="77777777" w:rsidR="008D76BF" w:rsidRDefault="00023967" w:rsidP="008D76BF">
    <w:pPr>
      <w:pStyle w:val="Footer"/>
      <w:jc w:val="right"/>
    </w:pPr>
    <w:r>
      <w:rPr>
        <w:noProof/>
      </w:rPr>
      <w:drawing>
        <wp:anchor distT="0" distB="0" distL="114300" distR="114300" simplePos="0" relativeHeight="251658240" behindDoc="1" locked="0" layoutInCell="1" allowOverlap="1" wp14:anchorId="34464144" wp14:editId="06429231">
          <wp:simplePos x="0" y="0"/>
          <wp:positionH relativeFrom="column">
            <wp:posOffset>4724400</wp:posOffset>
          </wp:positionH>
          <wp:positionV relativeFrom="paragraph">
            <wp:posOffset>-324485</wp:posOffset>
          </wp:positionV>
          <wp:extent cx="1219200" cy="4968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LWA logo_Visio Header.jpg"/>
                  <pic:cNvPicPr/>
                </pic:nvPicPr>
                <pic:blipFill>
                  <a:blip r:embed="rId1">
                    <a:extLst>
                      <a:ext uri="{28A0092B-C50C-407E-A947-70E740481C1C}">
                        <a14:useLocalDpi xmlns:a14="http://schemas.microsoft.com/office/drawing/2010/main" val="0"/>
                      </a:ext>
                    </a:extLst>
                  </a:blip>
                  <a:stretch>
                    <a:fillRect/>
                  </a:stretch>
                </pic:blipFill>
                <pic:spPr>
                  <a:xfrm>
                    <a:off x="0" y="0"/>
                    <a:ext cx="1219200" cy="49682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7CC04" w14:textId="77777777" w:rsidR="008D76BF" w:rsidRDefault="3711910F" w:rsidP="00703D03">
    <w:pPr>
      <w:pStyle w:val="Footer"/>
      <w:tabs>
        <w:tab w:val="clear" w:pos="4680"/>
        <w:tab w:val="clear" w:pos="9360"/>
        <w:tab w:val="left" w:pos="2445"/>
      </w:tabs>
      <w:ind w:left="-720"/>
    </w:pPr>
    <w:r>
      <w:rPr>
        <w:noProof/>
      </w:rPr>
      <w:drawing>
        <wp:inline distT="0" distB="0" distL="0" distR="0" wp14:anchorId="77FACF86" wp14:editId="10B8FC1D">
          <wp:extent cx="6846296" cy="428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846296" cy="4286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C632D" w14:textId="77777777" w:rsidR="005B6F97" w:rsidRDefault="005B6F97" w:rsidP="008D76BF">
      <w:r>
        <w:separator/>
      </w:r>
    </w:p>
  </w:footnote>
  <w:footnote w:type="continuationSeparator" w:id="0">
    <w:p w14:paraId="4D7FB4D1" w14:textId="77777777" w:rsidR="005B6F97" w:rsidRDefault="005B6F97" w:rsidP="008D76BF">
      <w:r>
        <w:continuationSeparator/>
      </w:r>
    </w:p>
  </w:footnote>
  <w:footnote w:type="continuationNotice" w:id="1">
    <w:p w14:paraId="7541A990" w14:textId="77777777" w:rsidR="005B6F97" w:rsidRDefault="005B6F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15" w:type="dxa"/>
      <w:tblInd w:w="-9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630"/>
    </w:tblGrid>
    <w:tr w:rsidR="000272A2" w14:paraId="76491BEF" w14:textId="77777777" w:rsidTr="3711910F">
      <w:trPr>
        <w:trHeight w:val="267"/>
      </w:trPr>
      <w:tc>
        <w:tcPr>
          <w:tcW w:w="7085" w:type="dxa"/>
        </w:tcPr>
        <w:p w14:paraId="1228790A" w14:textId="77777777" w:rsidR="000272A2" w:rsidRDefault="3711910F" w:rsidP="008D76BF">
          <w:pPr>
            <w:pStyle w:val="Header"/>
            <w:tabs>
              <w:tab w:val="clear" w:pos="9360"/>
            </w:tabs>
            <w:ind w:left="225" w:right="-990"/>
            <w:jc w:val="both"/>
          </w:pPr>
          <w:r>
            <w:rPr>
              <w:noProof/>
            </w:rPr>
            <w:drawing>
              <wp:inline distT="0" distB="0" distL="0" distR="0" wp14:anchorId="42EF1607" wp14:editId="013990CC">
                <wp:extent cx="2381250" cy="833090"/>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381250" cy="833090"/>
                        </a:xfrm>
                        <a:prstGeom prst="rect">
                          <a:avLst/>
                        </a:prstGeom>
                      </pic:spPr>
                    </pic:pic>
                  </a:graphicData>
                </a:graphic>
              </wp:inline>
            </w:drawing>
          </w:r>
        </w:p>
      </w:tc>
      <w:tc>
        <w:tcPr>
          <w:tcW w:w="630" w:type="dxa"/>
        </w:tcPr>
        <w:p w14:paraId="35B83153" w14:textId="77777777" w:rsidR="000272A2" w:rsidRPr="006D133D" w:rsidRDefault="000272A2" w:rsidP="008D76BF">
          <w:pPr>
            <w:pStyle w:val="Header"/>
            <w:tabs>
              <w:tab w:val="clear" w:pos="9360"/>
            </w:tabs>
            <w:rPr>
              <w:b/>
              <w:sz w:val="28"/>
              <w:szCs w:val="28"/>
            </w:rPr>
          </w:pPr>
        </w:p>
      </w:tc>
    </w:tr>
  </w:tbl>
  <w:p w14:paraId="6DC19768" w14:textId="163692EE" w:rsidR="008D76BF" w:rsidRDefault="008D76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345D1"/>
    <w:multiLevelType w:val="hybridMultilevel"/>
    <w:tmpl w:val="2C52ABC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D6D61"/>
    <w:multiLevelType w:val="hybridMultilevel"/>
    <w:tmpl w:val="7034E9D2"/>
    <w:lvl w:ilvl="0" w:tplc="21ECC9BA">
      <w:start w:val="579"/>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9F5F8D"/>
    <w:multiLevelType w:val="hybridMultilevel"/>
    <w:tmpl w:val="3F7A98F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D4540C"/>
    <w:multiLevelType w:val="hybridMultilevel"/>
    <w:tmpl w:val="54C44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5E3B19"/>
    <w:multiLevelType w:val="hybridMultilevel"/>
    <w:tmpl w:val="BB30D93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5" w15:restartNumberingAfterBreak="0">
    <w:nsid w:val="47B52BE3"/>
    <w:multiLevelType w:val="hybridMultilevel"/>
    <w:tmpl w:val="DE02A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E12532"/>
    <w:multiLevelType w:val="hybridMultilevel"/>
    <w:tmpl w:val="6BB6B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4849FF"/>
    <w:multiLevelType w:val="hybridMultilevel"/>
    <w:tmpl w:val="F9DAC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F13C04"/>
    <w:multiLevelType w:val="hybridMultilevel"/>
    <w:tmpl w:val="6BB0A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9821B3D"/>
    <w:multiLevelType w:val="hybridMultilevel"/>
    <w:tmpl w:val="34D88F0A"/>
    <w:lvl w:ilvl="0" w:tplc="B5146F0C">
      <w:start w:val="1"/>
      <w:numFmt w:val="bullet"/>
      <w:lvlText w:val=""/>
      <w:lvlJc w:val="left"/>
      <w:pPr>
        <w:tabs>
          <w:tab w:val="num" w:pos="720"/>
        </w:tabs>
        <w:ind w:left="720" w:hanging="360"/>
      </w:pPr>
      <w:rPr>
        <w:rFonts w:ascii="Symbol" w:hAnsi="Symbol" w:hint="default"/>
        <w:sz w:val="20"/>
      </w:rPr>
    </w:lvl>
    <w:lvl w:ilvl="1" w:tplc="9F3AF72C" w:tentative="1">
      <w:start w:val="1"/>
      <w:numFmt w:val="bullet"/>
      <w:lvlText w:val=""/>
      <w:lvlJc w:val="left"/>
      <w:pPr>
        <w:tabs>
          <w:tab w:val="num" w:pos="1440"/>
        </w:tabs>
        <w:ind w:left="1440" w:hanging="360"/>
      </w:pPr>
      <w:rPr>
        <w:rFonts w:ascii="Symbol" w:hAnsi="Symbol" w:hint="default"/>
        <w:sz w:val="20"/>
      </w:rPr>
    </w:lvl>
    <w:lvl w:ilvl="2" w:tplc="E1E826FE" w:tentative="1">
      <w:start w:val="1"/>
      <w:numFmt w:val="bullet"/>
      <w:lvlText w:val=""/>
      <w:lvlJc w:val="left"/>
      <w:pPr>
        <w:tabs>
          <w:tab w:val="num" w:pos="2160"/>
        </w:tabs>
        <w:ind w:left="2160" w:hanging="360"/>
      </w:pPr>
      <w:rPr>
        <w:rFonts w:ascii="Symbol" w:hAnsi="Symbol" w:hint="default"/>
        <w:sz w:val="20"/>
      </w:rPr>
    </w:lvl>
    <w:lvl w:ilvl="3" w:tplc="6B8C630C" w:tentative="1">
      <w:start w:val="1"/>
      <w:numFmt w:val="bullet"/>
      <w:lvlText w:val=""/>
      <w:lvlJc w:val="left"/>
      <w:pPr>
        <w:tabs>
          <w:tab w:val="num" w:pos="2880"/>
        </w:tabs>
        <w:ind w:left="2880" w:hanging="360"/>
      </w:pPr>
      <w:rPr>
        <w:rFonts w:ascii="Symbol" w:hAnsi="Symbol" w:hint="default"/>
        <w:sz w:val="20"/>
      </w:rPr>
    </w:lvl>
    <w:lvl w:ilvl="4" w:tplc="26921FAA" w:tentative="1">
      <w:start w:val="1"/>
      <w:numFmt w:val="bullet"/>
      <w:lvlText w:val=""/>
      <w:lvlJc w:val="left"/>
      <w:pPr>
        <w:tabs>
          <w:tab w:val="num" w:pos="3600"/>
        </w:tabs>
        <w:ind w:left="3600" w:hanging="360"/>
      </w:pPr>
      <w:rPr>
        <w:rFonts w:ascii="Symbol" w:hAnsi="Symbol" w:hint="default"/>
        <w:sz w:val="20"/>
      </w:rPr>
    </w:lvl>
    <w:lvl w:ilvl="5" w:tplc="24AC586A" w:tentative="1">
      <w:start w:val="1"/>
      <w:numFmt w:val="bullet"/>
      <w:lvlText w:val=""/>
      <w:lvlJc w:val="left"/>
      <w:pPr>
        <w:tabs>
          <w:tab w:val="num" w:pos="4320"/>
        </w:tabs>
        <w:ind w:left="4320" w:hanging="360"/>
      </w:pPr>
      <w:rPr>
        <w:rFonts w:ascii="Symbol" w:hAnsi="Symbol" w:hint="default"/>
        <w:sz w:val="20"/>
      </w:rPr>
    </w:lvl>
    <w:lvl w:ilvl="6" w:tplc="613A53FE" w:tentative="1">
      <w:start w:val="1"/>
      <w:numFmt w:val="bullet"/>
      <w:lvlText w:val=""/>
      <w:lvlJc w:val="left"/>
      <w:pPr>
        <w:tabs>
          <w:tab w:val="num" w:pos="5040"/>
        </w:tabs>
        <w:ind w:left="5040" w:hanging="360"/>
      </w:pPr>
      <w:rPr>
        <w:rFonts w:ascii="Symbol" w:hAnsi="Symbol" w:hint="default"/>
        <w:sz w:val="20"/>
      </w:rPr>
    </w:lvl>
    <w:lvl w:ilvl="7" w:tplc="A6405FB4" w:tentative="1">
      <w:start w:val="1"/>
      <w:numFmt w:val="bullet"/>
      <w:lvlText w:val=""/>
      <w:lvlJc w:val="left"/>
      <w:pPr>
        <w:tabs>
          <w:tab w:val="num" w:pos="5760"/>
        </w:tabs>
        <w:ind w:left="5760" w:hanging="360"/>
      </w:pPr>
      <w:rPr>
        <w:rFonts w:ascii="Symbol" w:hAnsi="Symbol" w:hint="default"/>
        <w:sz w:val="20"/>
      </w:rPr>
    </w:lvl>
    <w:lvl w:ilvl="8" w:tplc="1878203A"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6741A91"/>
    <w:multiLevelType w:val="hybridMultilevel"/>
    <w:tmpl w:val="A94EB3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581D7E"/>
    <w:multiLevelType w:val="hybridMultilevel"/>
    <w:tmpl w:val="2DCE8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EF127B"/>
    <w:multiLevelType w:val="hybridMultilevel"/>
    <w:tmpl w:val="6C568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0448473">
    <w:abstractNumId w:val="0"/>
  </w:num>
  <w:num w:numId="2" w16cid:durableId="527449820">
    <w:abstractNumId w:val="2"/>
  </w:num>
  <w:num w:numId="3" w16cid:durableId="680082200">
    <w:abstractNumId w:val="7"/>
  </w:num>
  <w:num w:numId="4" w16cid:durableId="581528225">
    <w:abstractNumId w:val="11"/>
  </w:num>
  <w:num w:numId="5" w16cid:durableId="1455830077">
    <w:abstractNumId w:val="9"/>
  </w:num>
  <w:num w:numId="6" w16cid:durableId="1314990098">
    <w:abstractNumId w:val="1"/>
  </w:num>
  <w:num w:numId="7" w16cid:durableId="1564411665">
    <w:abstractNumId w:val="6"/>
  </w:num>
  <w:num w:numId="8" w16cid:durableId="904803456">
    <w:abstractNumId w:val="4"/>
  </w:num>
  <w:num w:numId="9" w16cid:durableId="1137340898">
    <w:abstractNumId w:val="3"/>
  </w:num>
  <w:num w:numId="10" w16cid:durableId="1277054210">
    <w:abstractNumId w:val="8"/>
  </w:num>
  <w:num w:numId="11" w16cid:durableId="810051877">
    <w:abstractNumId w:val="12"/>
  </w:num>
  <w:num w:numId="12" w16cid:durableId="1054354866">
    <w:abstractNumId w:val="5"/>
  </w:num>
  <w:num w:numId="13" w16cid:durableId="2729777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MwMDUzNzEzMjG1NDNX0lEKTi0uzszPAykwrAUA40vccSwAAAA="/>
    <w:docVar w:name="DocStatus" w:val="true"/>
  </w:docVars>
  <w:rsids>
    <w:rsidRoot w:val="004268CA"/>
    <w:rsid w:val="0001394F"/>
    <w:rsid w:val="000147AA"/>
    <w:rsid w:val="0002007E"/>
    <w:rsid w:val="00023967"/>
    <w:rsid w:val="0002431A"/>
    <w:rsid w:val="000265F4"/>
    <w:rsid w:val="000272A2"/>
    <w:rsid w:val="0002769E"/>
    <w:rsid w:val="00031333"/>
    <w:rsid w:val="00032604"/>
    <w:rsid w:val="00032999"/>
    <w:rsid w:val="00032CFB"/>
    <w:rsid w:val="00035158"/>
    <w:rsid w:val="00044967"/>
    <w:rsid w:val="0004540A"/>
    <w:rsid w:val="00045E13"/>
    <w:rsid w:val="00046DFC"/>
    <w:rsid w:val="00047BEB"/>
    <w:rsid w:val="000504A3"/>
    <w:rsid w:val="00062471"/>
    <w:rsid w:val="0006314E"/>
    <w:rsid w:val="00063DE2"/>
    <w:rsid w:val="00077780"/>
    <w:rsid w:val="0008479A"/>
    <w:rsid w:val="000853D1"/>
    <w:rsid w:val="00085D25"/>
    <w:rsid w:val="000860A2"/>
    <w:rsid w:val="000931A7"/>
    <w:rsid w:val="000934D6"/>
    <w:rsid w:val="0009585A"/>
    <w:rsid w:val="00095928"/>
    <w:rsid w:val="000975CF"/>
    <w:rsid w:val="000A4E73"/>
    <w:rsid w:val="000A576D"/>
    <w:rsid w:val="000A6658"/>
    <w:rsid w:val="000C597C"/>
    <w:rsid w:val="000D2C46"/>
    <w:rsid w:val="000D4998"/>
    <w:rsid w:val="000E00EC"/>
    <w:rsid w:val="000E363D"/>
    <w:rsid w:val="000E526A"/>
    <w:rsid w:val="000E6BA1"/>
    <w:rsid w:val="000E74AD"/>
    <w:rsid w:val="000F4B1F"/>
    <w:rsid w:val="000F615C"/>
    <w:rsid w:val="000F7262"/>
    <w:rsid w:val="00101CAA"/>
    <w:rsid w:val="0010210E"/>
    <w:rsid w:val="0010431A"/>
    <w:rsid w:val="001157C0"/>
    <w:rsid w:val="001211C7"/>
    <w:rsid w:val="00122A39"/>
    <w:rsid w:val="001249F0"/>
    <w:rsid w:val="00125904"/>
    <w:rsid w:val="00131444"/>
    <w:rsid w:val="00132157"/>
    <w:rsid w:val="00133689"/>
    <w:rsid w:val="00134697"/>
    <w:rsid w:val="0014084F"/>
    <w:rsid w:val="00143DCC"/>
    <w:rsid w:val="0014652B"/>
    <w:rsid w:val="00152785"/>
    <w:rsid w:val="001657DA"/>
    <w:rsid w:val="0016669D"/>
    <w:rsid w:val="00166AB2"/>
    <w:rsid w:val="00167B44"/>
    <w:rsid w:val="0017421B"/>
    <w:rsid w:val="00175296"/>
    <w:rsid w:val="00176B63"/>
    <w:rsid w:val="00182BDA"/>
    <w:rsid w:val="00182C92"/>
    <w:rsid w:val="00185F4C"/>
    <w:rsid w:val="00185FCC"/>
    <w:rsid w:val="00187689"/>
    <w:rsid w:val="00193D3D"/>
    <w:rsid w:val="0019686D"/>
    <w:rsid w:val="001A0441"/>
    <w:rsid w:val="001A12D1"/>
    <w:rsid w:val="001A3341"/>
    <w:rsid w:val="001A6D35"/>
    <w:rsid w:val="001A72F1"/>
    <w:rsid w:val="001B1252"/>
    <w:rsid w:val="001B1AF5"/>
    <w:rsid w:val="001B1B4A"/>
    <w:rsid w:val="001B2311"/>
    <w:rsid w:val="001B2E1F"/>
    <w:rsid w:val="001C12F3"/>
    <w:rsid w:val="001C51FC"/>
    <w:rsid w:val="001C7891"/>
    <w:rsid w:val="001D17D4"/>
    <w:rsid w:val="001D604F"/>
    <w:rsid w:val="001D69CD"/>
    <w:rsid w:val="001D7459"/>
    <w:rsid w:val="001D7E1E"/>
    <w:rsid w:val="001E2DE5"/>
    <w:rsid w:val="001E5427"/>
    <w:rsid w:val="001E6D3E"/>
    <w:rsid w:val="001F0FCE"/>
    <w:rsid w:val="001F2CF2"/>
    <w:rsid w:val="001F3DAA"/>
    <w:rsid w:val="00200E9E"/>
    <w:rsid w:val="00201629"/>
    <w:rsid w:val="00201CD1"/>
    <w:rsid w:val="0021450F"/>
    <w:rsid w:val="002157D8"/>
    <w:rsid w:val="00215FF2"/>
    <w:rsid w:val="0021686B"/>
    <w:rsid w:val="00217240"/>
    <w:rsid w:val="00217E2C"/>
    <w:rsid w:val="002235A0"/>
    <w:rsid w:val="00226DCB"/>
    <w:rsid w:val="00233874"/>
    <w:rsid w:val="002404A0"/>
    <w:rsid w:val="0024111C"/>
    <w:rsid w:val="002436F3"/>
    <w:rsid w:val="0024730D"/>
    <w:rsid w:val="002502A3"/>
    <w:rsid w:val="002504CA"/>
    <w:rsid w:val="00251AFB"/>
    <w:rsid w:val="00251B24"/>
    <w:rsid w:val="00252335"/>
    <w:rsid w:val="0026197D"/>
    <w:rsid w:val="00266886"/>
    <w:rsid w:val="00267111"/>
    <w:rsid w:val="00270DB0"/>
    <w:rsid w:val="0027348A"/>
    <w:rsid w:val="00274D69"/>
    <w:rsid w:val="0027730F"/>
    <w:rsid w:val="00282A49"/>
    <w:rsid w:val="00282C06"/>
    <w:rsid w:val="00290DA5"/>
    <w:rsid w:val="002913B9"/>
    <w:rsid w:val="00294FE7"/>
    <w:rsid w:val="00295B53"/>
    <w:rsid w:val="00295BF4"/>
    <w:rsid w:val="002A10DC"/>
    <w:rsid w:val="002A44AC"/>
    <w:rsid w:val="002A7900"/>
    <w:rsid w:val="002B36D4"/>
    <w:rsid w:val="002B5482"/>
    <w:rsid w:val="002B5513"/>
    <w:rsid w:val="002C0015"/>
    <w:rsid w:val="002C1743"/>
    <w:rsid w:val="002C1E78"/>
    <w:rsid w:val="002C3945"/>
    <w:rsid w:val="002C46EF"/>
    <w:rsid w:val="002D03F4"/>
    <w:rsid w:val="002D1056"/>
    <w:rsid w:val="002D13A6"/>
    <w:rsid w:val="002D22C7"/>
    <w:rsid w:val="002D4AFC"/>
    <w:rsid w:val="002D5E5F"/>
    <w:rsid w:val="002D6406"/>
    <w:rsid w:val="002D6AB8"/>
    <w:rsid w:val="002E0A5E"/>
    <w:rsid w:val="002E539C"/>
    <w:rsid w:val="002F36F4"/>
    <w:rsid w:val="002F5D1A"/>
    <w:rsid w:val="002F7821"/>
    <w:rsid w:val="00304EA0"/>
    <w:rsid w:val="003057D6"/>
    <w:rsid w:val="00311074"/>
    <w:rsid w:val="0031120C"/>
    <w:rsid w:val="00313ACD"/>
    <w:rsid w:val="00316774"/>
    <w:rsid w:val="00327D92"/>
    <w:rsid w:val="0033050C"/>
    <w:rsid w:val="00331619"/>
    <w:rsid w:val="00332482"/>
    <w:rsid w:val="003347FD"/>
    <w:rsid w:val="00340328"/>
    <w:rsid w:val="003424B9"/>
    <w:rsid w:val="0034311A"/>
    <w:rsid w:val="00353339"/>
    <w:rsid w:val="003611CA"/>
    <w:rsid w:val="0036196F"/>
    <w:rsid w:val="00370633"/>
    <w:rsid w:val="0037103C"/>
    <w:rsid w:val="0037105D"/>
    <w:rsid w:val="00381771"/>
    <w:rsid w:val="003831C2"/>
    <w:rsid w:val="003847F5"/>
    <w:rsid w:val="00386177"/>
    <w:rsid w:val="00387DCD"/>
    <w:rsid w:val="00391E60"/>
    <w:rsid w:val="00394C77"/>
    <w:rsid w:val="00395357"/>
    <w:rsid w:val="00395482"/>
    <w:rsid w:val="003A01C8"/>
    <w:rsid w:val="003A1A1B"/>
    <w:rsid w:val="003A3474"/>
    <w:rsid w:val="003A5EE8"/>
    <w:rsid w:val="003A662D"/>
    <w:rsid w:val="003B2C3A"/>
    <w:rsid w:val="003B3F10"/>
    <w:rsid w:val="003B63FE"/>
    <w:rsid w:val="003C22E1"/>
    <w:rsid w:val="003C2855"/>
    <w:rsid w:val="003C2D86"/>
    <w:rsid w:val="003C3EBF"/>
    <w:rsid w:val="003C7D76"/>
    <w:rsid w:val="003D0A33"/>
    <w:rsid w:val="003D121C"/>
    <w:rsid w:val="003D2817"/>
    <w:rsid w:val="003D38BA"/>
    <w:rsid w:val="003D45C0"/>
    <w:rsid w:val="003D4610"/>
    <w:rsid w:val="003E0005"/>
    <w:rsid w:val="003E113C"/>
    <w:rsid w:val="003E2195"/>
    <w:rsid w:val="003E5F4E"/>
    <w:rsid w:val="003E61F9"/>
    <w:rsid w:val="003F1135"/>
    <w:rsid w:val="003F1D41"/>
    <w:rsid w:val="003F41D7"/>
    <w:rsid w:val="00400C77"/>
    <w:rsid w:val="00402529"/>
    <w:rsid w:val="00405041"/>
    <w:rsid w:val="0040529D"/>
    <w:rsid w:val="00407AC9"/>
    <w:rsid w:val="0041078B"/>
    <w:rsid w:val="0041151F"/>
    <w:rsid w:val="004133BA"/>
    <w:rsid w:val="00413AC0"/>
    <w:rsid w:val="00413E30"/>
    <w:rsid w:val="00415538"/>
    <w:rsid w:val="004165B6"/>
    <w:rsid w:val="004178C0"/>
    <w:rsid w:val="00417C2B"/>
    <w:rsid w:val="00417F3F"/>
    <w:rsid w:val="00420810"/>
    <w:rsid w:val="00421FDA"/>
    <w:rsid w:val="00422FAC"/>
    <w:rsid w:val="004234BC"/>
    <w:rsid w:val="004251CD"/>
    <w:rsid w:val="004268CA"/>
    <w:rsid w:val="004300B5"/>
    <w:rsid w:val="004304AA"/>
    <w:rsid w:val="00433A54"/>
    <w:rsid w:val="00435875"/>
    <w:rsid w:val="00437B2B"/>
    <w:rsid w:val="00442003"/>
    <w:rsid w:val="00443EDF"/>
    <w:rsid w:val="00445774"/>
    <w:rsid w:val="004458F6"/>
    <w:rsid w:val="004519B3"/>
    <w:rsid w:val="00451B98"/>
    <w:rsid w:val="00451F2B"/>
    <w:rsid w:val="00454728"/>
    <w:rsid w:val="00455C63"/>
    <w:rsid w:val="00456482"/>
    <w:rsid w:val="00456B58"/>
    <w:rsid w:val="00461A64"/>
    <w:rsid w:val="004626BD"/>
    <w:rsid w:val="00462814"/>
    <w:rsid w:val="00470350"/>
    <w:rsid w:val="004710A3"/>
    <w:rsid w:val="0047224E"/>
    <w:rsid w:val="00473007"/>
    <w:rsid w:val="00474C4F"/>
    <w:rsid w:val="00474DA0"/>
    <w:rsid w:val="00475D61"/>
    <w:rsid w:val="00476162"/>
    <w:rsid w:val="00480F6B"/>
    <w:rsid w:val="00482993"/>
    <w:rsid w:val="004841B4"/>
    <w:rsid w:val="00491973"/>
    <w:rsid w:val="004921D8"/>
    <w:rsid w:val="00495286"/>
    <w:rsid w:val="004A10F8"/>
    <w:rsid w:val="004A253E"/>
    <w:rsid w:val="004A44D1"/>
    <w:rsid w:val="004A4BA1"/>
    <w:rsid w:val="004A70BD"/>
    <w:rsid w:val="004B2F40"/>
    <w:rsid w:val="004B358A"/>
    <w:rsid w:val="004B3B3D"/>
    <w:rsid w:val="004B42A3"/>
    <w:rsid w:val="004C347F"/>
    <w:rsid w:val="004D0E38"/>
    <w:rsid w:val="004D7005"/>
    <w:rsid w:val="004E6B06"/>
    <w:rsid w:val="004E7686"/>
    <w:rsid w:val="004F0D47"/>
    <w:rsid w:val="004F10D9"/>
    <w:rsid w:val="004F36D3"/>
    <w:rsid w:val="004F5413"/>
    <w:rsid w:val="004F5DCC"/>
    <w:rsid w:val="004F70FF"/>
    <w:rsid w:val="004F7B07"/>
    <w:rsid w:val="00500F32"/>
    <w:rsid w:val="005037FE"/>
    <w:rsid w:val="0050790E"/>
    <w:rsid w:val="00507D88"/>
    <w:rsid w:val="0051107B"/>
    <w:rsid w:val="005117FE"/>
    <w:rsid w:val="005126B4"/>
    <w:rsid w:val="00515A94"/>
    <w:rsid w:val="00520905"/>
    <w:rsid w:val="00521594"/>
    <w:rsid w:val="00523E5A"/>
    <w:rsid w:val="00525020"/>
    <w:rsid w:val="00525E2E"/>
    <w:rsid w:val="005323BB"/>
    <w:rsid w:val="005345D0"/>
    <w:rsid w:val="0053565B"/>
    <w:rsid w:val="00537BD5"/>
    <w:rsid w:val="00546017"/>
    <w:rsid w:val="00550A7C"/>
    <w:rsid w:val="00553B15"/>
    <w:rsid w:val="00554036"/>
    <w:rsid w:val="005541F7"/>
    <w:rsid w:val="005564E7"/>
    <w:rsid w:val="00560BBC"/>
    <w:rsid w:val="00561289"/>
    <w:rsid w:val="00562481"/>
    <w:rsid w:val="0056477C"/>
    <w:rsid w:val="00566BA1"/>
    <w:rsid w:val="00583E9B"/>
    <w:rsid w:val="005860C2"/>
    <w:rsid w:val="00591A44"/>
    <w:rsid w:val="00594320"/>
    <w:rsid w:val="00595535"/>
    <w:rsid w:val="00596261"/>
    <w:rsid w:val="00596A51"/>
    <w:rsid w:val="0059703A"/>
    <w:rsid w:val="005A11F6"/>
    <w:rsid w:val="005A2974"/>
    <w:rsid w:val="005A4746"/>
    <w:rsid w:val="005A53C5"/>
    <w:rsid w:val="005A5765"/>
    <w:rsid w:val="005B2005"/>
    <w:rsid w:val="005B236D"/>
    <w:rsid w:val="005B3F60"/>
    <w:rsid w:val="005B50C8"/>
    <w:rsid w:val="005B6F97"/>
    <w:rsid w:val="005B73FF"/>
    <w:rsid w:val="005C231A"/>
    <w:rsid w:val="005C3F25"/>
    <w:rsid w:val="005C7406"/>
    <w:rsid w:val="005D164A"/>
    <w:rsid w:val="005D4F4D"/>
    <w:rsid w:val="005D573F"/>
    <w:rsid w:val="005E21F3"/>
    <w:rsid w:val="005E306F"/>
    <w:rsid w:val="005E51D8"/>
    <w:rsid w:val="005E6839"/>
    <w:rsid w:val="005F1B4E"/>
    <w:rsid w:val="005F4F87"/>
    <w:rsid w:val="00600538"/>
    <w:rsid w:val="00602D4C"/>
    <w:rsid w:val="006058FE"/>
    <w:rsid w:val="00605E31"/>
    <w:rsid w:val="006114BA"/>
    <w:rsid w:val="00611978"/>
    <w:rsid w:val="00615E21"/>
    <w:rsid w:val="006216EC"/>
    <w:rsid w:val="00623254"/>
    <w:rsid w:val="006253A2"/>
    <w:rsid w:val="0062661E"/>
    <w:rsid w:val="00631EAC"/>
    <w:rsid w:val="00632A76"/>
    <w:rsid w:val="00632D71"/>
    <w:rsid w:val="00633CE6"/>
    <w:rsid w:val="00633E16"/>
    <w:rsid w:val="00641704"/>
    <w:rsid w:val="00641F50"/>
    <w:rsid w:val="006424F4"/>
    <w:rsid w:val="00646876"/>
    <w:rsid w:val="00646BA9"/>
    <w:rsid w:val="00647257"/>
    <w:rsid w:val="006477D6"/>
    <w:rsid w:val="00653DF5"/>
    <w:rsid w:val="00656F8C"/>
    <w:rsid w:val="00660C89"/>
    <w:rsid w:val="00661DDB"/>
    <w:rsid w:val="00667491"/>
    <w:rsid w:val="00670A53"/>
    <w:rsid w:val="0067182B"/>
    <w:rsid w:val="00673ED5"/>
    <w:rsid w:val="00674C04"/>
    <w:rsid w:val="00676750"/>
    <w:rsid w:val="00681CE5"/>
    <w:rsid w:val="00686F16"/>
    <w:rsid w:val="00687B00"/>
    <w:rsid w:val="00691B39"/>
    <w:rsid w:val="0069538B"/>
    <w:rsid w:val="00697E4E"/>
    <w:rsid w:val="006A167F"/>
    <w:rsid w:val="006A2397"/>
    <w:rsid w:val="006A434B"/>
    <w:rsid w:val="006A5F32"/>
    <w:rsid w:val="006A7A12"/>
    <w:rsid w:val="006B5ACA"/>
    <w:rsid w:val="006C0545"/>
    <w:rsid w:val="006C35EF"/>
    <w:rsid w:val="006C4301"/>
    <w:rsid w:val="006D3837"/>
    <w:rsid w:val="006D6EBD"/>
    <w:rsid w:val="006E26E5"/>
    <w:rsid w:val="006E536A"/>
    <w:rsid w:val="006E6F28"/>
    <w:rsid w:val="006F04D2"/>
    <w:rsid w:val="006F055E"/>
    <w:rsid w:val="006F1924"/>
    <w:rsid w:val="006F5F06"/>
    <w:rsid w:val="00701818"/>
    <w:rsid w:val="00703D03"/>
    <w:rsid w:val="00707384"/>
    <w:rsid w:val="00711C46"/>
    <w:rsid w:val="00716875"/>
    <w:rsid w:val="0072200D"/>
    <w:rsid w:val="00722469"/>
    <w:rsid w:val="007226D7"/>
    <w:rsid w:val="00727CE8"/>
    <w:rsid w:val="00734FE6"/>
    <w:rsid w:val="00737467"/>
    <w:rsid w:val="007415B7"/>
    <w:rsid w:val="00743FD0"/>
    <w:rsid w:val="0074477B"/>
    <w:rsid w:val="00747107"/>
    <w:rsid w:val="00751AAF"/>
    <w:rsid w:val="00753D08"/>
    <w:rsid w:val="00754C77"/>
    <w:rsid w:val="007558D6"/>
    <w:rsid w:val="00761E9B"/>
    <w:rsid w:val="00765BB5"/>
    <w:rsid w:val="00766395"/>
    <w:rsid w:val="00766B1A"/>
    <w:rsid w:val="0076706C"/>
    <w:rsid w:val="00773330"/>
    <w:rsid w:val="00773C60"/>
    <w:rsid w:val="0077500C"/>
    <w:rsid w:val="00781C56"/>
    <w:rsid w:val="007906C4"/>
    <w:rsid w:val="0079420B"/>
    <w:rsid w:val="007950A1"/>
    <w:rsid w:val="00796944"/>
    <w:rsid w:val="007977FF"/>
    <w:rsid w:val="007A23E4"/>
    <w:rsid w:val="007A2F1D"/>
    <w:rsid w:val="007A346E"/>
    <w:rsid w:val="007A3534"/>
    <w:rsid w:val="007A6E5C"/>
    <w:rsid w:val="007A7358"/>
    <w:rsid w:val="007A7B98"/>
    <w:rsid w:val="007B1E18"/>
    <w:rsid w:val="007C13AE"/>
    <w:rsid w:val="007C48AB"/>
    <w:rsid w:val="007C57D6"/>
    <w:rsid w:val="007C5813"/>
    <w:rsid w:val="007C67B5"/>
    <w:rsid w:val="007C78DF"/>
    <w:rsid w:val="007D0A4A"/>
    <w:rsid w:val="007D11DD"/>
    <w:rsid w:val="007D11F8"/>
    <w:rsid w:val="007D2CC4"/>
    <w:rsid w:val="007D45C9"/>
    <w:rsid w:val="007D54A5"/>
    <w:rsid w:val="007E4402"/>
    <w:rsid w:val="007F1136"/>
    <w:rsid w:val="007F4CD1"/>
    <w:rsid w:val="007F4FAB"/>
    <w:rsid w:val="007F5BC8"/>
    <w:rsid w:val="007F7BDB"/>
    <w:rsid w:val="00801A6F"/>
    <w:rsid w:val="00802193"/>
    <w:rsid w:val="00804112"/>
    <w:rsid w:val="0080546C"/>
    <w:rsid w:val="00810730"/>
    <w:rsid w:val="0081460E"/>
    <w:rsid w:val="00822579"/>
    <w:rsid w:val="00826921"/>
    <w:rsid w:val="0083043D"/>
    <w:rsid w:val="0083159B"/>
    <w:rsid w:val="008338D0"/>
    <w:rsid w:val="008342CD"/>
    <w:rsid w:val="00836212"/>
    <w:rsid w:val="008402B2"/>
    <w:rsid w:val="00842FD8"/>
    <w:rsid w:val="008467D5"/>
    <w:rsid w:val="00852A9A"/>
    <w:rsid w:val="00853058"/>
    <w:rsid w:val="0085309E"/>
    <w:rsid w:val="0085649F"/>
    <w:rsid w:val="0085786E"/>
    <w:rsid w:val="00863E64"/>
    <w:rsid w:val="00865D1B"/>
    <w:rsid w:val="00870028"/>
    <w:rsid w:val="00872292"/>
    <w:rsid w:val="00881B3F"/>
    <w:rsid w:val="00883730"/>
    <w:rsid w:val="0088376F"/>
    <w:rsid w:val="00884066"/>
    <w:rsid w:val="008902EE"/>
    <w:rsid w:val="00891109"/>
    <w:rsid w:val="008916BA"/>
    <w:rsid w:val="00891E9B"/>
    <w:rsid w:val="00892C38"/>
    <w:rsid w:val="0089328D"/>
    <w:rsid w:val="008A02ED"/>
    <w:rsid w:val="008A16AE"/>
    <w:rsid w:val="008A2DFE"/>
    <w:rsid w:val="008A67A6"/>
    <w:rsid w:val="008B1A40"/>
    <w:rsid w:val="008B2536"/>
    <w:rsid w:val="008B467D"/>
    <w:rsid w:val="008B5179"/>
    <w:rsid w:val="008B58F5"/>
    <w:rsid w:val="008C1470"/>
    <w:rsid w:val="008C30C5"/>
    <w:rsid w:val="008C34B0"/>
    <w:rsid w:val="008C40B2"/>
    <w:rsid w:val="008D1A03"/>
    <w:rsid w:val="008D2099"/>
    <w:rsid w:val="008D7132"/>
    <w:rsid w:val="008D76BF"/>
    <w:rsid w:val="008E1528"/>
    <w:rsid w:val="008E2633"/>
    <w:rsid w:val="008E55A6"/>
    <w:rsid w:val="008F0FEB"/>
    <w:rsid w:val="008F5373"/>
    <w:rsid w:val="0090182F"/>
    <w:rsid w:val="0090320B"/>
    <w:rsid w:val="009045CF"/>
    <w:rsid w:val="009068ED"/>
    <w:rsid w:val="00907B54"/>
    <w:rsid w:val="00910722"/>
    <w:rsid w:val="009121B8"/>
    <w:rsid w:val="009157B1"/>
    <w:rsid w:val="00917009"/>
    <w:rsid w:val="00920372"/>
    <w:rsid w:val="00920A65"/>
    <w:rsid w:val="00922B5C"/>
    <w:rsid w:val="0092393C"/>
    <w:rsid w:val="00930E88"/>
    <w:rsid w:val="00934EA5"/>
    <w:rsid w:val="00936786"/>
    <w:rsid w:val="009411F7"/>
    <w:rsid w:val="00945091"/>
    <w:rsid w:val="009450E4"/>
    <w:rsid w:val="00945A96"/>
    <w:rsid w:val="00945D55"/>
    <w:rsid w:val="0095182E"/>
    <w:rsid w:val="00955B83"/>
    <w:rsid w:val="00957EBB"/>
    <w:rsid w:val="0096027F"/>
    <w:rsid w:val="009604CE"/>
    <w:rsid w:val="0096481E"/>
    <w:rsid w:val="00964CA3"/>
    <w:rsid w:val="00967099"/>
    <w:rsid w:val="0097046C"/>
    <w:rsid w:val="00972F03"/>
    <w:rsid w:val="009734C1"/>
    <w:rsid w:val="00974B65"/>
    <w:rsid w:val="00976133"/>
    <w:rsid w:val="00977107"/>
    <w:rsid w:val="0097718B"/>
    <w:rsid w:val="009777AB"/>
    <w:rsid w:val="00980A51"/>
    <w:rsid w:val="0098195E"/>
    <w:rsid w:val="00983DAD"/>
    <w:rsid w:val="009847E4"/>
    <w:rsid w:val="0098591A"/>
    <w:rsid w:val="00987360"/>
    <w:rsid w:val="009879B1"/>
    <w:rsid w:val="00987ECD"/>
    <w:rsid w:val="009912C4"/>
    <w:rsid w:val="00992EA3"/>
    <w:rsid w:val="00993DBD"/>
    <w:rsid w:val="009946EA"/>
    <w:rsid w:val="00994D22"/>
    <w:rsid w:val="00996E91"/>
    <w:rsid w:val="009A3F7C"/>
    <w:rsid w:val="009A600F"/>
    <w:rsid w:val="009A7DE1"/>
    <w:rsid w:val="009B423C"/>
    <w:rsid w:val="009B74B9"/>
    <w:rsid w:val="009C5432"/>
    <w:rsid w:val="009D0E5D"/>
    <w:rsid w:val="009D457B"/>
    <w:rsid w:val="009D5C1C"/>
    <w:rsid w:val="009E07ED"/>
    <w:rsid w:val="009E2067"/>
    <w:rsid w:val="009E39A1"/>
    <w:rsid w:val="009E411D"/>
    <w:rsid w:val="009E62FF"/>
    <w:rsid w:val="009F25AA"/>
    <w:rsid w:val="009F4638"/>
    <w:rsid w:val="009F743C"/>
    <w:rsid w:val="00A00830"/>
    <w:rsid w:val="00A027EF"/>
    <w:rsid w:val="00A03B49"/>
    <w:rsid w:val="00A03BE9"/>
    <w:rsid w:val="00A03D81"/>
    <w:rsid w:val="00A13648"/>
    <w:rsid w:val="00A25859"/>
    <w:rsid w:val="00A26638"/>
    <w:rsid w:val="00A31A86"/>
    <w:rsid w:val="00A35BE9"/>
    <w:rsid w:val="00A37DE0"/>
    <w:rsid w:val="00A426F8"/>
    <w:rsid w:val="00A45A87"/>
    <w:rsid w:val="00A46288"/>
    <w:rsid w:val="00A47764"/>
    <w:rsid w:val="00A524F9"/>
    <w:rsid w:val="00A55ED0"/>
    <w:rsid w:val="00A5735B"/>
    <w:rsid w:val="00A67B61"/>
    <w:rsid w:val="00A67E1B"/>
    <w:rsid w:val="00A704C9"/>
    <w:rsid w:val="00A711B7"/>
    <w:rsid w:val="00A72185"/>
    <w:rsid w:val="00A7630B"/>
    <w:rsid w:val="00A77514"/>
    <w:rsid w:val="00A823DE"/>
    <w:rsid w:val="00A90149"/>
    <w:rsid w:val="00A933A7"/>
    <w:rsid w:val="00A94126"/>
    <w:rsid w:val="00A97366"/>
    <w:rsid w:val="00A9794D"/>
    <w:rsid w:val="00AA3186"/>
    <w:rsid w:val="00AA53DE"/>
    <w:rsid w:val="00AB3886"/>
    <w:rsid w:val="00AC0EEB"/>
    <w:rsid w:val="00AC15C6"/>
    <w:rsid w:val="00AC3230"/>
    <w:rsid w:val="00AC330C"/>
    <w:rsid w:val="00AC39A3"/>
    <w:rsid w:val="00AD1696"/>
    <w:rsid w:val="00AD3667"/>
    <w:rsid w:val="00AD4979"/>
    <w:rsid w:val="00AD6958"/>
    <w:rsid w:val="00AE344E"/>
    <w:rsid w:val="00AE416F"/>
    <w:rsid w:val="00AE4265"/>
    <w:rsid w:val="00AE43C4"/>
    <w:rsid w:val="00AF2464"/>
    <w:rsid w:val="00AF39B8"/>
    <w:rsid w:val="00AF3ECE"/>
    <w:rsid w:val="00B02E4B"/>
    <w:rsid w:val="00B040C8"/>
    <w:rsid w:val="00B104F1"/>
    <w:rsid w:val="00B13ABE"/>
    <w:rsid w:val="00B160B4"/>
    <w:rsid w:val="00B2282D"/>
    <w:rsid w:val="00B23B64"/>
    <w:rsid w:val="00B25DA4"/>
    <w:rsid w:val="00B2722B"/>
    <w:rsid w:val="00B301B6"/>
    <w:rsid w:val="00B32732"/>
    <w:rsid w:val="00B33EF7"/>
    <w:rsid w:val="00B45B10"/>
    <w:rsid w:val="00B463E4"/>
    <w:rsid w:val="00B52041"/>
    <w:rsid w:val="00B5233F"/>
    <w:rsid w:val="00B55E32"/>
    <w:rsid w:val="00B566F7"/>
    <w:rsid w:val="00B572A3"/>
    <w:rsid w:val="00B604F3"/>
    <w:rsid w:val="00B61F50"/>
    <w:rsid w:val="00B635BF"/>
    <w:rsid w:val="00B66AD9"/>
    <w:rsid w:val="00B72280"/>
    <w:rsid w:val="00B725EA"/>
    <w:rsid w:val="00B73593"/>
    <w:rsid w:val="00B7456E"/>
    <w:rsid w:val="00B7563E"/>
    <w:rsid w:val="00B77581"/>
    <w:rsid w:val="00B80044"/>
    <w:rsid w:val="00B83CF5"/>
    <w:rsid w:val="00B8734B"/>
    <w:rsid w:val="00B876B7"/>
    <w:rsid w:val="00B90CEA"/>
    <w:rsid w:val="00B91F11"/>
    <w:rsid w:val="00B934D9"/>
    <w:rsid w:val="00B95F19"/>
    <w:rsid w:val="00BA00D2"/>
    <w:rsid w:val="00BA3007"/>
    <w:rsid w:val="00BA42D3"/>
    <w:rsid w:val="00BA5B1B"/>
    <w:rsid w:val="00BA6F46"/>
    <w:rsid w:val="00BB3152"/>
    <w:rsid w:val="00BB3C5A"/>
    <w:rsid w:val="00BB4E22"/>
    <w:rsid w:val="00BB6600"/>
    <w:rsid w:val="00BB7EF1"/>
    <w:rsid w:val="00BC06F9"/>
    <w:rsid w:val="00BC4D0F"/>
    <w:rsid w:val="00BC6B60"/>
    <w:rsid w:val="00BD1918"/>
    <w:rsid w:val="00BD2AF8"/>
    <w:rsid w:val="00BD465D"/>
    <w:rsid w:val="00BD51C4"/>
    <w:rsid w:val="00BD6BE6"/>
    <w:rsid w:val="00BE40B5"/>
    <w:rsid w:val="00BE6FBB"/>
    <w:rsid w:val="00BE7559"/>
    <w:rsid w:val="00BE7E31"/>
    <w:rsid w:val="00BF1144"/>
    <w:rsid w:val="00BF23C2"/>
    <w:rsid w:val="00BF265B"/>
    <w:rsid w:val="00BF2842"/>
    <w:rsid w:val="00BF3773"/>
    <w:rsid w:val="00BF425F"/>
    <w:rsid w:val="00BF5715"/>
    <w:rsid w:val="00BF7DCC"/>
    <w:rsid w:val="00C033AE"/>
    <w:rsid w:val="00C05016"/>
    <w:rsid w:val="00C05B20"/>
    <w:rsid w:val="00C05E30"/>
    <w:rsid w:val="00C06B6E"/>
    <w:rsid w:val="00C0799F"/>
    <w:rsid w:val="00C13545"/>
    <w:rsid w:val="00C16019"/>
    <w:rsid w:val="00C1708F"/>
    <w:rsid w:val="00C20A54"/>
    <w:rsid w:val="00C2505A"/>
    <w:rsid w:val="00C262B1"/>
    <w:rsid w:val="00C33212"/>
    <w:rsid w:val="00C35B60"/>
    <w:rsid w:val="00C401D6"/>
    <w:rsid w:val="00C407DF"/>
    <w:rsid w:val="00C41EC1"/>
    <w:rsid w:val="00C42F6E"/>
    <w:rsid w:val="00C479C8"/>
    <w:rsid w:val="00C506BB"/>
    <w:rsid w:val="00C51517"/>
    <w:rsid w:val="00C52764"/>
    <w:rsid w:val="00C52BBA"/>
    <w:rsid w:val="00C53546"/>
    <w:rsid w:val="00C618C5"/>
    <w:rsid w:val="00C62FB5"/>
    <w:rsid w:val="00C64AAD"/>
    <w:rsid w:val="00C65682"/>
    <w:rsid w:val="00C70E23"/>
    <w:rsid w:val="00C815E8"/>
    <w:rsid w:val="00C81D58"/>
    <w:rsid w:val="00C83B26"/>
    <w:rsid w:val="00C863D3"/>
    <w:rsid w:val="00C908C3"/>
    <w:rsid w:val="00C93462"/>
    <w:rsid w:val="00C93ACB"/>
    <w:rsid w:val="00C9589E"/>
    <w:rsid w:val="00C961DD"/>
    <w:rsid w:val="00C963A9"/>
    <w:rsid w:val="00CA09FB"/>
    <w:rsid w:val="00CA148B"/>
    <w:rsid w:val="00CA2BA6"/>
    <w:rsid w:val="00CA2C15"/>
    <w:rsid w:val="00CA58A1"/>
    <w:rsid w:val="00CA6483"/>
    <w:rsid w:val="00CB4127"/>
    <w:rsid w:val="00CB5F66"/>
    <w:rsid w:val="00CB75BD"/>
    <w:rsid w:val="00CB7749"/>
    <w:rsid w:val="00CC2BBD"/>
    <w:rsid w:val="00CC4592"/>
    <w:rsid w:val="00CC5B19"/>
    <w:rsid w:val="00CD21DF"/>
    <w:rsid w:val="00CD27A7"/>
    <w:rsid w:val="00CE14DF"/>
    <w:rsid w:val="00CE5200"/>
    <w:rsid w:val="00CE534D"/>
    <w:rsid w:val="00CF1ECD"/>
    <w:rsid w:val="00CF3E59"/>
    <w:rsid w:val="00D01CA4"/>
    <w:rsid w:val="00D11476"/>
    <w:rsid w:val="00D1196C"/>
    <w:rsid w:val="00D11E8A"/>
    <w:rsid w:val="00D13B8A"/>
    <w:rsid w:val="00D1433A"/>
    <w:rsid w:val="00D16B97"/>
    <w:rsid w:val="00D20F37"/>
    <w:rsid w:val="00D210BD"/>
    <w:rsid w:val="00D23BAE"/>
    <w:rsid w:val="00D246A2"/>
    <w:rsid w:val="00D251BC"/>
    <w:rsid w:val="00D27B07"/>
    <w:rsid w:val="00D305B8"/>
    <w:rsid w:val="00D32372"/>
    <w:rsid w:val="00D337EA"/>
    <w:rsid w:val="00D35E6B"/>
    <w:rsid w:val="00D36403"/>
    <w:rsid w:val="00D37287"/>
    <w:rsid w:val="00D43E4F"/>
    <w:rsid w:val="00D4462F"/>
    <w:rsid w:val="00D45D60"/>
    <w:rsid w:val="00D50DF3"/>
    <w:rsid w:val="00D514EB"/>
    <w:rsid w:val="00D51611"/>
    <w:rsid w:val="00D53C64"/>
    <w:rsid w:val="00D60A58"/>
    <w:rsid w:val="00D634FC"/>
    <w:rsid w:val="00D64684"/>
    <w:rsid w:val="00D66512"/>
    <w:rsid w:val="00D66A3D"/>
    <w:rsid w:val="00D66F7D"/>
    <w:rsid w:val="00D71118"/>
    <w:rsid w:val="00D73110"/>
    <w:rsid w:val="00D741F2"/>
    <w:rsid w:val="00D7583B"/>
    <w:rsid w:val="00D773AA"/>
    <w:rsid w:val="00D77ECA"/>
    <w:rsid w:val="00D80C58"/>
    <w:rsid w:val="00D8275D"/>
    <w:rsid w:val="00D8606D"/>
    <w:rsid w:val="00D90150"/>
    <w:rsid w:val="00D93082"/>
    <w:rsid w:val="00D93B8E"/>
    <w:rsid w:val="00D94E93"/>
    <w:rsid w:val="00D961C2"/>
    <w:rsid w:val="00D963A3"/>
    <w:rsid w:val="00DA6591"/>
    <w:rsid w:val="00DB148A"/>
    <w:rsid w:val="00DB45BE"/>
    <w:rsid w:val="00DC2684"/>
    <w:rsid w:val="00DC2C37"/>
    <w:rsid w:val="00DC4C22"/>
    <w:rsid w:val="00DC6C85"/>
    <w:rsid w:val="00DC6ED4"/>
    <w:rsid w:val="00DD326D"/>
    <w:rsid w:val="00DD42DE"/>
    <w:rsid w:val="00DD580C"/>
    <w:rsid w:val="00DD596F"/>
    <w:rsid w:val="00DE3330"/>
    <w:rsid w:val="00DF18FF"/>
    <w:rsid w:val="00E01DEB"/>
    <w:rsid w:val="00E021AE"/>
    <w:rsid w:val="00E04588"/>
    <w:rsid w:val="00E046C9"/>
    <w:rsid w:val="00E056AA"/>
    <w:rsid w:val="00E106A2"/>
    <w:rsid w:val="00E135E4"/>
    <w:rsid w:val="00E1561F"/>
    <w:rsid w:val="00E161FD"/>
    <w:rsid w:val="00E16AA0"/>
    <w:rsid w:val="00E2254F"/>
    <w:rsid w:val="00E22F81"/>
    <w:rsid w:val="00E32A01"/>
    <w:rsid w:val="00E3372C"/>
    <w:rsid w:val="00E402FA"/>
    <w:rsid w:val="00E43F85"/>
    <w:rsid w:val="00E44D86"/>
    <w:rsid w:val="00E50DDD"/>
    <w:rsid w:val="00E527EB"/>
    <w:rsid w:val="00E543B2"/>
    <w:rsid w:val="00E5642A"/>
    <w:rsid w:val="00E66BED"/>
    <w:rsid w:val="00E714BA"/>
    <w:rsid w:val="00E73F11"/>
    <w:rsid w:val="00E75DCC"/>
    <w:rsid w:val="00E831F8"/>
    <w:rsid w:val="00E84A90"/>
    <w:rsid w:val="00E86FAA"/>
    <w:rsid w:val="00E9005F"/>
    <w:rsid w:val="00E92752"/>
    <w:rsid w:val="00E963B6"/>
    <w:rsid w:val="00E9722D"/>
    <w:rsid w:val="00EA2367"/>
    <w:rsid w:val="00EB0278"/>
    <w:rsid w:val="00EB1F0D"/>
    <w:rsid w:val="00EB3D5D"/>
    <w:rsid w:val="00EB6218"/>
    <w:rsid w:val="00EB6F7B"/>
    <w:rsid w:val="00EC2DD4"/>
    <w:rsid w:val="00EC681E"/>
    <w:rsid w:val="00ED178E"/>
    <w:rsid w:val="00ED3690"/>
    <w:rsid w:val="00EE1E24"/>
    <w:rsid w:val="00EF11A4"/>
    <w:rsid w:val="00EF2931"/>
    <w:rsid w:val="00EF42DF"/>
    <w:rsid w:val="00EF54F1"/>
    <w:rsid w:val="00EF6274"/>
    <w:rsid w:val="00EF641C"/>
    <w:rsid w:val="00EF6DA4"/>
    <w:rsid w:val="00F0147D"/>
    <w:rsid w:val="00F01EB7"/>
    <w:rsid w:val="00F048D8"/>
    <w:rsid w:val="00F05D4C"/>
    <w:rsid w:val="00F0690A"/>
    <w:rsid w:val="00F07BED"/>
    <w:rsid w:val="00F16CD2"/>
    <w:rsid w:val="00F20D80"/>
    <w:rsid w:val="00F20F1D"/>
    <w:rsid w:val="00F22BC3"/>
    <w:rsid w:val="00F22F87"/>
    <w:rsid w:val="00F23144"/>
    <w:rsid w:val="00F231DE"/>
    <w:rsid w:val="00F25DC1"/>
    <w:rsid w:val="00F261E4"/>
    <w:rsid w:val="00F27E6C"/>
    <w:rsid w:val="00F3063E"/>
    <w:rsid w:val="00F30AFB"/>
    <w:rsid w:val="00F34919"/>
    <w:rsid w:val="00F352C1"/>
    <w:rsid w:val="00F35FDB"/>
    <w:rsid w:val="00F36CE9"/>
    <w:rsid w:val="00F40481"/>
    <w:rsid w:val="00F43330"/>
    <w:rsid w:val="00F54B32"/>
    <w:rsid w:val="00F55102"/>
    <w:rsid w:val="00F61F72"/>
    <w:rsid w:val="00F625C3"/>
    <w:rsid w:val="00F6271D"/>
    <w:rsid w:val="00F62F14"/>
    <w:rsid w:val="00F634E7"/>
    <w:rsid w:val="00F6391C"/>
    <w:rsid w:val="00F655CB"/>
    <w:rsid w:val="00F71469"/>
    <w:rsid w:val="00F779EB"/>
    <w:rsid w:val="00F81D3F"/>
    <w:rsid w:val="00F82F92"/>
    <w:rsid w:val="00F90694"/>
    <w:rsid w:val="00F90B43"/>
    <w:rsid w:val="00F92FC2"/>
    <w:rsid w:val="00F96745"/>
    <w:rsid w:val="00FA1DE9"/>
    <w:rsid w:val="00FA2FF3"/>
    <w:rsid w:val="00FA5A82"/>
    <w:rsid w:val="00FA7BCA"/>
    <w:rsid w:val="00FB34CA"/>
    <w:rsid w:val="00FB6A1B"/>
    <w:rsid w:val="00FC12B8"/>
    <w:rsid w:val="00FC7A46"/>
    <w:rsid w:val="00FD46DC"/>
    <w:rsid w:val="00FD600D"/>
    <w:rsid w:val="00FD6518"/>
    <w:rsid w:val="00FE05D7"/>
    <w:rsid w:val="00FE4E1E"/>
    <w:rsid w:val="00FE5E79"/>
    <w:rsid w:val="00FF026A"/>
    <w:rsid w:val="00FF14C2"/>
    <w:rsid w:val="00FF7A51"/>
    <w:rsid w:val="03AC17AB"/>
    <w:rsid w:val="12A31DAB"/>
    <w:rsid w:val="1BA068CE"/>
    <w:rsid w:val="1DEC4263"/>
    <w:rsid w:val="3711910F"/>
    <w:rsid w:val="3F4CA1CD"/>
    <w:rsid w:val="3FE72F49"/>
    <w:rsid w:val="44D6A38B"/>
    <w:rsid w:val="45E7EE96"/>
    <w:rsid w:val="47FFCBFD"/>
    <w:rsid w:val="51488B90"/>
    <w:rsid w:val="5B43AAC5"/>
    <w:rsid w:val="7112E51A"/>
    <w:rsid w:val="78D5B3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99289E"/>
  <w15:docId w15:val="{8B05E3D3-CC30-417E-BAE8-373491164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8CA"/>
    <w:pPr>
      <w:spacing w:after="0" w:line="240" w:lineRule="auto"/>
    </w:pPr>
    <w:rPr>
      <w:rFonts w:eastAsiaTheme="minorEastAsia"/>
      <w:sz w:val="24"/>
      <w:szCs w:val="24"/>
    </w:rPr>
  </w:style>
  <w:style w:type="paragraph" w:styleId="Heading1">
    <w:name w:val="heading 1"/>
    <w:basedOn w:val="Normal"/>
    <w:next w:val="Normal"/>
    <w:link w:val="Heading1Char"/>
    <w:qFormat/>
    <w:rsid w:val="00047BEB"/>
    <w:pPr>
      <w:keepNext/>
      <w:jc w:val="center"/>
      <w:outlineLvl w:val="0"/>
    </w:pPr>
    <w:rPr>
      <w:rFonts w:ascii="Times New Roman" w:eastAsia="Times New Roman" w:hAnsi="Times New Roman" w:cs="Times New Roman"/>
      <w:b/>
      <w:smallCaps/>
      <w:szCs w:val="20"/>
    </w:rPr>
  </w:style>
  <w:style w:type="paragraph" w:styleId="Heading2">
    <w:name w:val="heading 2"/>
    <w:basedOn w:val="Normal"/>
    <w:next w:val="Normal"/>
    <w:link w:val="Heading2Char"/>
    <w:qFormat/>
    <w:rsid w:val="00047BEB"/>
    <w:pPr>
      <w:keepNext/>
      <w:jc w:val="center"/>
      <w:outlineLvl w:val="1"/>
    </w:pPr>
    <w:rPr>
      <w:rFonts w:ascii="Times New Roman" w:eastAsia="Times New Roman" w:hAnsi="Times New Roman" w:cs="Times New Roman"/>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76BF"/>
    <w:pPr>
      <w:tabs>
        <w:tab w:val="center" w:pos="4680"/>
        <w:tab w:val="right" w:pos="9360"/>
      </w:tabs>
    </w:pPr>
    <w:rPr>
      <w:rFonts w:eastAsiaTheme="minorHAnsi"/>
      <w:sz w:val="22"/>
      <w:szCs w:val="22"/>
    </w:rPr>
  </w:style>
  <w:style w:type="character" w:customStyle="1" w:styleId="HeaderChar">
    <w:name w:val="Header Char"/>
    <w:basedOn w:val="DefaultParagraphFont"/>
    <w:link w:val="Header"/>
    <w:uiPriority w:val="99"/>
    <w:rsid w:val="008D76BF"/>
  </w:style>
  <w:style w:type="paragraph" w:styleId="Footer">
    <w:name w:val="footer"/>
    <w:basedOn w:val="Normal"/>
    <w:link w:val="FooterChar"/>
    <w:uiPriority w:val="99"/>
    <w:unhideWhenUsed/>
    <w:rsid w:val="008D76BF"/>
    <w:pPr>
      <w:tabs>
        <w:tab w:val="center" w:pos="4680"/>
        <w:tab w:val="right" w:pos="9360"/>
      </w:tabs>
    </w:pPr>
    <w:rPr>
      <w:rFonts w:eastAsiaTheme="minorHAnsi"/>
      <w:sz w:val="22"/>
      <w:szCs w:val="22"/>
    </w:rPr>
  </w:style>
  <w:style w:type="character" w:customStyle="1" w:styleId="FooterChar">
    <w:name w:val="Footer Char"/>
    <w:basedOn w:val="DefaultParagraphFont"/>
    <w:link w:val="Footer"/>
    <w:uiPriority w:val="99"/>
    <w:rsid w:val="008D76BF"/>
  </w:style>
  <w:style w:type="table" w:styleId="TableGrid">
    <w:name w:val="Table Grid"/>
    <w:basedOn w:val="TableNormal"/>
    <w:uiPriority w:val="39"/>
    <w:rsid w:val="008D7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3D03"/>
    <w:rPr>
      <w:color w:val="0563C1" w:themeColor="hyperlink"/>
      <w:u w:val="single"/>
    </w:rPr>
  </w:style>
  <w:style w:type="paragraph" w:styleId="NormalWeb">
    <w:name w:val="Normal (Web)"/>
    <w:basedOn w:val="Normal"/>
    <w:uiPriority w:val="99"/>
    <w:semiHidden/>
    <w:unhideWhenUsed/>
    <w:rsid w:val="004268CA"/>
    <w:pPr>
      <w:spacing w:before="100" w:beforeAutospacing="1" w:after="100" w:afterAutospacing="1"/>
    </w:pPr>
    <w:rPr>
      <w:rFonts w:ascii="Times" w:eastAsiaTheme="minorHAnsi" w:hAnsi="Times" w:cs="Times New Roman"/>
      <w:sz w:val="20"/>
      <w:szCs w:val="20"/>
    </w:rPr>
  </w:style>
  <w:style w:type="paragraph" w:customStyle="1" w:styleId="yiv4030217709msonormal">
    <w:name w:val="yiv4030217709msonormal"/>
    <w:basedOn w:val="Normal"/>
    <w:rsid w:val="004268CA"/>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95182E"/>
    <w:rPr>
      <w:sz w:val="16"/>
      <w:szCs w:val="16"/>
    </w:rPr>
  </w:style>
  <w:style w:type="paragraph" w:styleId="CommentText">
    <w:name w:val="annotation text"/>
    <w:basedOn w:val="Normal"/>
    <w:link w:val="CommentTextChar"/>
    <w:uiPriority w:val="99"/>
    <w:unhideWhenUsed/>
    <w:rsid w:val="0095182E"/>
    <w:rPr>
      <w:sz w:val="20"/>
      <w:szCs w:val="20"/>
    </w:rPr>
  </w:style>
  <w:style w:type="character" w:customStyle="1" w:styleId="CommentTextChar">
    <w:name w:val="Comment Text Char"/>
    <w:basedOn w:val="DefaultParagraphFont"/>
    <w:link w:val="CommentText"/>
    <w:uiPriority w:val="99"/>
    <w:rsid w:val="0095182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5182E"/>
    <w:rPr>
      <w:b/>
      <w:bCs/>
    </w:rPr>
  </w:style>
  <w:style w:type="character" w:customStyle="1" w:styleId="CommentSubjectChar">
    <w:name w:val="Comment Subject Char"/>
    <w:basedOn w:val="CommentTextChar"/>
    <w:link w:val="CommentSubject"/>
    <w:uiPriority w:val="99"/>
    <w:semiHidden/>
    <w:rsid w:val="0095182E"/>
    <w:rPr>
      <w:rFonts w:eastAsiaTheme="minorEastAsia"/>
      <w:b/>
      <w:bCs/>
      <w:sz w:val="20"/>
      <w:szCs w:val="20"/>
    </w:rPr>
  </w:style>
  <w:style w:type="paragraph" w:styleId="BalloonText">
    <w:name w:val="Balloon Text"/>
    <w:basedOn w:val="Normal"/>
    <w:link w:val="BalloonTextChar"/>
    <w:uiPriority w:val="99"/>
    <w:semiHidden/>
    <w:unhideWhenUsed/>
    <w:rsid w:val="009518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82E"/>
    <w:rPr>
      <w:rFonts w:ascii="Segoe UI" w:eastAsiaTheme="minorEastAsia" w:hAnsi="Segoe UI" w:cs="Segoe UI"/>
      <w:sz w:val="18"/>
      <w:szCs w:val="18"/>
    </w:rPr>
  </w:style>
  <w:style w:type="character" w:customStyle="1" w:styleId="UnresolvedMention1">
    <w:name w:val="Unresolved Mention1"/>
    <w:basedOn w:val="DefaultParagraphFont"/>
    <w:uiPriority w:val="99"/>
    <w:unhideWhenUsed/>
    <w:rsid w:val="00200E9E"/>
    <w:rPr>
      <w:color w:val="605E5C"/>
      <w:shd w:val="clear" w:color="auto" w:fill="E1DFDD"/>
    </w:rPr>
  </w:style>
  <w:style w:type="paragraph" w:styleId="ListParagraph">
    <w:name w:val="List Paragraph"/>
    <w:basedOn w:val="Normal"/>
    <w:uiPriority w:val="34"/>
    <w:qFormat/>
    <w:rsid w:val="009777AB"/>
    <w:pPr>
      <w:ind w:left="720"/>
      <w:contextualSpacing/>
    </w:pPr>
  </w:style>
  <w:style w:type="character" w:styleId="Strong">
    <w:name w:val="Strong"/>
    <w:basedOn w:val="DefaultParagraphFont"/>
    <w:uiPriority w:val="22"/>
    <w:qFormat/>
    <w:rsid w:val="002C3945"/>
    <w:rPr>
      <w:b/>
      <w:bCs/>
    </w:rPr>
  </w:style>
  <w:style w:type="character" w:customStyle="1" w:styleId="apple-converted-space">
    <w:name w:val="apple-converted-space"/>
    <w:basedOn w:val="DefaultParagraphFont"/>
    <w:rsid w:val="002C3945"/>
  </w:style>
  <w:style w:type="character" w:styleId="FollowedHyperlink">
    <w:name w:val="FollowedHyperlink"/>
    <w:basedOn w:val="DefaultParagraphFont"/>
    <w:uiPriority w:val="99"/>
    <w:semiHidden/>
    <w:unhideWhenUsed/>
    <w:rsid w:val="002C3945"/>
    <w:rPr>
      <w:color w:val="954F72" w:themeColor="followedHyperlink"/>
      <w:u w:val="single"/>
    </w:rPr>
  </w:style>
  <w:style w:type="paragraph" w:styleId="Revision">
    <w:name w:val="Revision"/>
    <w:hidden/>
    <w:uiPriority w:val="99"/>
    <w:semiHidden/>
    <w:rsid w:val="00996E91"/>
    <w:pPr>
      <w:spacing w:after="0" w:line="240" w:lineRule="auto"/>
    </w:pPr>
    <w:rPr>
      <w:rFonts w:eastAsiaTheme="minorEastAsia"/>
      <w:sz w:val="24"/>
      <w:szCs w:val="24"/>
    </w:rPr>
  </w:style>
  <w:style w:type="character" w:customStyle="1" w:styleId="Heading1Char">
    <w:name w:val="Heading 1 Char"/>
    <w:basedOn w:val="DefaultParagraphFont"/>
    <w:link w:val="Heading1"/>
    <w:rsid w:val="00047BEB"/>
    <w:rPr>
      <w:rFonts w:ascii="Times New Roman" w:eastAsia="Times New Roman" w:hAnsi="Times New Roman" w:cs="Times New Roman"/>
      <w:b/>
      <w:smallCaps/>
      <w:sz w:val="24"/>
      <w:szCs w:val="20"/>
    </w:rPr>
  </w:style>
  <w:style w:type="character" w:customStyle="1" w:styleId="Heading2Char">
    <w:name w:val="Heading 2 Char"/>
    <w:basedOn w:val="DefaultParagraphFont"/>
    <w:link w:val="Heading2"/>
    <w:rsid w:val="00047BEB"/>
    <w:rPr>
      <w:rFonts w:ascii="Times New Roman" w:eastAsia="Times New Roman" w:hAnsi="Times New Roman" w:cs="Times New Roman"/>
      <w:b/>
      <w:i/>
      <w:sz w:val="24"/>
      <w:szCs w:val="20"/>
    </w:rPr>
  </w:style>
  <w:style w:type="character" w:customStyle="1" w:styleId="Mention1">
    <w:name w:val="Mention1"/>
    <w:basedOn w:val="DefaultParagraphFont"/>
    <w:uiPriority w:val="99"/>
    <w:unhideWhenUsed/>
    <w:rsid w:val="00B13ABE"/>
    <w:rPr>
      <w:color w:val="2B579A"/>
      <w:shd w:val="clear" w:color="auto" w:fill="E1DFDD"/>
    </w:rPr>
  </w:style>
  <w:style w:type="character" w:styleId="UnresolvedMention">
    <w:name w:val="Unresolved Mention"/>
    <w:basedOn w:val="DefaultParagraphFont"/>
    <w:uiPriority w:val="99"/>
    <w:semiHidden/>
    <w:unhideWhenUsed/>
    <w:rsid w:val="00872292"/>
    <w:rPr>
      <w:color w:val="605E5C"/>
      <w:shd w:val="clear" w:color="auto" w:fill="E1DFDD"/>
    </w:rPr>
  </w:style>
  <w:style w:type="character" w:styleId="Mention">
    <w:name w:val="Mention"/>
    <w:basedOn w:val="DefaultParagraphFont"/>
    <w:uiPriority w:val="99"/>
    <w:unhideWhenUsed/>
    <w:rsid w:val="00D7311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1810">
      <w:bodyDiv w:val="1"/>
      <w:marLeft w:val="0"/>
      <w:marRight w:val="0"/>
      <w:marTop w:val="0"/>
      <w:marBottom w:val="0"/>
      <w:divBdr>
        <w:top w:val="none" w:sz="0" w:space="0" w:color="auto"/>
        <w:left w:val="none" w:sz="0" w:space="0" w:color="auto"/>
        <w:bottom w:val="none" w:sz="0" w:space="0" w:color="auto"/>
        <w:right w:val="none" w:sz="0" w:space="0" w:color="auto"/>
      </w:divBdr>
    </w:div>
    <w:div w:id="85924160">
      <w:bodyDiv w:val="1"/>
      <w:marLeft w:val="0"/>
      <w:marRight w:val="0"/>
      <w:marTop w:val="0"/>
      <w:marBottom w:val="0"/>
      <w:divBdr>
        <w:top w:val="none" w:sz="0" w:space="0" w:color="auto"/>
        <w:left w:val="none" w:sz="0" w:space="0" w:color="auto"/>
        <w:bottom w:val="none" w:sz="0" w:space="0" w:color="auto"/>
        <w:right w:val="none" w:sz="0" w:space="0" w:color="auto"/>
      </w:divBdr>
    </w:div>
    <w:div w:id="208030536">
      <w:bodyDiv w:val="1"/>
      <w:marLeft w:val="0"/>
      <w:marRight w:val="0"/>
      <w:marTop w:val="0"/>
      <w:marBottom w:val="0"/>
      <w:divBdr>
        <w:top w:val="none" w:sz="0" w:space="0" w:color="auto"/>
        <w:left w:val="none" w:sz="0" w:space="0" w:color="auto"/>
        <w:bottom w:val="none" w:sz="0" w:space="0" w:color="auto"/>
        <w:right w:val="none" w:sz="0" w:space="0" w:color="auto"/>
      </w:divBdr>
    </w:div>
    <w:div w:id="210115646">
      <w:bodyDiv w:val="1"/>
      <w:marLeft w:val="0"/>
      <w:marRight w:val="0"/>
      <w:marTop w:val="0"/>
      <w:marBottom w:val="0"/>
      <w:divBdr>
        <w:top w:val="none" w:sz="0" w:space="0" w:color="auto"/>
        <w:left w:val="none" w:sz="0" w:space="0" w:color="auto"/>
        <w:bottom w:val="none" w:sz="0" w:space="0" w:color="auto"/>
        <w:right w:val="none" w:sz="0" w:space="0" w:color="auto"/>
      </w:divBdr>
      <w:divsChild>
        <w:div w:id="139466994">
          <w:marLeft w:val="0"/>
          <w:marRight w:val="0"/>
          <w:marTop w:val="0"/>
          <w:marBottom w:val="0"/>
          <w:divBdr>
            <w:top w:val="none" w:sz="0" w:space="0" w:color="auto"/>
            <w:left w:val="none" w:sz="0" w:space="0" w:color="auto"/>
            <w:bottom w:val="none" w:sz="0" w:space="0" w:color="auto"/>
            <w:right w:val="none" w:sz="0" w:space="0" w:color="auto"/>
          </w:divBdr>
          <w:divsChild>
            <w:div w:id="1174684760">
              <w:marLeft w:val="0"/>
              <w:marRight w:val="0"/>
              <w:marTop w:val="0"/>
              <w:marBottom w:val="0"/>
              <w:divBdr>
                <w:top w:val="none" w:sz="0" w:space="0" w:color="auto"/>
                <w:left w:val="none" w:sz="0" w:space="0" w:color="auto"/>
                <w:bottom w:val="none" w:sz="0" w:space="0" w:color="auto"/>
                <w:right w:val="none" w:sz="0" w:space="0" w:color="auto"/>
              </w:divBdr>
              <w:divsChild>
                <w:div w:id="214561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290801">
      <w:bodyDiv w:val="1"/>
      <w:marLeft w:val="0"/>
      <w:marRight w:val="0"/>
      <w:marTop w:val="0"/>
      <w:marBottom w:val="0"/>
      <w:divBdr>
        <w:top w:val="none" w:sz="0" w:space="0" w:color="auto"/>
        <w:left w:val="none" w:sz="0" w:space="0" w:color="auto"/>
        <w:bottom w:val="none" w:sz="0" w:space="0" w:color="auto"/>
        <w:right w:val="none" w:sz="0" w:space="0" w:color="auto"/>
      </w:divBdr>
    </w:div>
    <w:div w:id="688412359">
      <w:bodyDiv w:val="1"/>
      <w:marLeft w:val="0"/>
      <w:marRight w:val="0"/>
      <w:marTop w:val="0"/>
      <w:marBottom w:val="0"/>
      <w:divBdr>
        <w:top w:val="none" w:sz="0" w:space="0" w:color="auto"/>
        <w:left w:val="none" w:sz="0" w:space="0" w:color="auto"/>
        <w:bottom w:val="none" w:sz="0" w:space="0" w:color="auto"/>
        <w:right w:val="none" w:sz="0" w:space="0" w:color="auto"/>
      </w:divBdr>
      <w:divsChild>
        <w:div w:id="1372069998">
          <w:marLeft w:val="0"/>
          <w:marRight w:val="0"/>
          <w:marTop w:val="0"/>
          <w:marBottom w:val="0"/>
          <w:divBdr>
            <w:top w:val="none" w:sz="0" w:space="0" w:color="auto"/>
            <w:left w:val="none" w:sz="0" w:space="0" w:color="auto"/>
            <w:bottom w:val="none" w:sz="0" w:space="0" w:color="auto"/>
            <w:right w:val="none" w:sz="0" w:space="0" w:color="auto"/>
          </w:divBdr>
          <w:divsChild>
            <w:div w:id="187062404">
              <w:marLeft w:val="0"/>
              <w:marRight w:val="0"/>
              <w:marTop w:val="0"/>
              <w:marBottom w:val="0"/>
              <w:divBdr>
                <w:top w:val="none" w:sz="0" w:space="0" w:color="auto"/>
                <w:left w:val="none" w:sz="0" w:space="0" w:color="auto"/>
                <w:bottom w:val="none" w:sz="0" w:space="0" w:color="auto"/>
                <w:right w:val="none" w:sz="0" w:space="0" w:color="auto"/>
              </w:divBdr>
              <w:divsChild>
                <w:div w:id="4695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701248">
      <w:bodyDiv w:val="1"/>
      <w:marLeft w:val="0"/>
      <w:marRight w:val="0"/>
      <w:marTop w:val="0"/>
      <w:marBottom w:val="0"/>
      <w:divBdr>
        <w:top w:val="none" w:sz="0" w:space="0" w:color="auto"/>
        <w:left w:val="none" w:sz="0" w:space="0" w:color="auto"/>
        <w:bottom w:val="none" w:sz="0" w:space="0" w:color="auto"/>
        <w:right w:val="none" w:sz="0" w:space="0" w:color="auto"/>
      </w:divBdr>
    </w:div>
    <w:div w:id="812215904">
      <w:bodyDiv w:val="1"/>
      <w:marLeft w:val="0"/>
      <w:marRight w:val="0"/>
      <w:marTop w:val="0"/>
      <w:marBottom w:val="0"/>
      <w:divBdr>
        <w:top w:val="none" w:sz="0" w:space="0" w:color="auto"/>
        <w:left w:val="none" w:sz="0" w:space="0" w:color="auto"/>
        <w:bottom w:val="none" w:sz="0" w:space="0" w:color="auto"/>
        <w:right w:val="none" w:sz="0" w:space="0" w:color="auto"/>
      </w:divBdr>
    </w:div>
    <w:div w:id="1157959847">
      <w:bodyDiv w:val="1"/>
      <w:marLeft w:val="0"/>
      <w:marRight w:val="0"/>
      <w:marTop w:val="0"/>
      <w:marBottom w:val="0"/>
      <w:divBdr>
        <w:top w:val="none" w:sz="0" w:space="0" w:color="auto"/>
        <w:left w:val="none" w:sz="0" w:space="0" w:color="auto"/>
        <w:bottom w:val="none" w:sz="0" w:space="0" w:color="auto"/>
        <w:right w:val="none" w:sz="0" w:space="0" w:color="auto"/>
      </w:divBdr>
      <w:divsChild>
        <w:div w:id="1215510974">
          <w:marLeft w:val="0"/>
          <w:marRight w:val="0"/>
          <w:marTop w:val="0"/>
          <w:marBottom w:val="0"/>
          <w:divBdr>
            <w:top w:val="none" w:sz="0" w:space="0" w:color="auto"/>
            <w:left w:val="none" w:sz="0" w:space="0" w:color="auto"/>
            <w:bottom w:val="none" w:sz="0" w:space="0" w:color="auto"/>
            <w:right w:val="none" w:sz="0" w:space="0" w:color="auto"/>
          </w:divBdr>
          <w:divsChild>
            <w:div w:id="1838497391">
              <w:marLeft w:val="0"/>
              <w:marRight w:val="0"/>
              <w:marTop w:val="0"/>
              <w:marBottom w:val="0"/>
              <w:divBdr>
                <w:top w:val="none" w:sz="0" w:space="0" w:color="auto"/>
                <w:left w:val="none" w:sz="0" w:space="0" w:color="auto"/>
                <w:bottom w:val="none" w:sz="0" w:space="0" w:color="auto"/>
                <w:right w:val="none" w:sz="0" w:space="0" w:color="auto"/>
              </w:divBdr>
              <w:divsChild>
                <w:div w:id="121152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660782">
      <w:bodyDiv w:val="1"/>
      <w:marLeft w:val="0"/>
      <w:marRight w:val="0"/>
      <w:marTop w:val="0"/>
      <w:marBottom w:val="0"/>
      <w:divBdr>
        <w:top w:val="none" w:sz="0" w:space="0" w:color="auto"/>
        <w:left w:val="none" w:sz="0" w:space="0" w:color="auto"/>
        <w:bottom w:val="none" w:sz="0" w:space="0" w:color="auto"/>
        <w:right w:val="none" w:sz="0" w:space="0" w:color="auto"/>
      </w:divBdr>
    </w:div>
    <w:div w:id="1367565619">
      <w:bodyDiv w:val="1"/>
      <w:marLeft w:val="0"/>
      <w:marRight w:val="0"/>
      <w:marTop w:val="0"/>
      <w:marBottom w:val="0"/>
      <w:divBdr>
        <w:top w:val="none" w:sz="0" w:space="0" w:color="auto"/>
        <w:left w:val="none" w:sz="0" w:space="0" w:color="auto"/>
        <w:bottom w:val="none" w:sz="0" w:space="0" w:color="auto"/>
        <w:right w:val="none" w:sz="0" w:space="0" w:color="auto"/>
      </w:divBdr>
    </w:div>
    <w:div w:id="1578707671">
      <w:bodyDiv w:val="1"/>
      <w:marLeft w:val="0"/>
      <w:marRight w:val="0"/>
      <w:marTop w:val="0"/>
      <w:marBottom w:val="0"/>
      <w:divBdr>
        <w:top w:val="none" w:sz="0" w:space="0" w:color="auto"/>
        <w:left w:val="none" w:sz="0" w:space="0" w:color="auto"/>
        <w:bottom w:val="none" w:sz="0" w:space="0" w:color="auto"/>
        <w:right w:val="none" w:sz="0" w:space="0" w:color="auto"/>
      </w:divBdr>
    </w:div>
    <w:div w:id="207789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lwater.org/glwa-resources/how-glwa-sets-water-charg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lwater.org/our-system/water-syste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ichelle.zdrodowski@glwater.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ashleigh.chatel@fleishman.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glwater.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drodowski\AppData\Roaming\Microsoft\Templates\Stationary%20Template%20for%20Global%20Us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9C1A7E36D121468607C999A2D1288A" ma:contentTypeVersion="16" ma:contentTypeDescription="Create a new document." ma:contentTypeScope="" ma:versionID="6f615e20308cae809b6d29f10cacdd53">
  <xsd:schema xmlns:xsd="http://www.w3.org/2001/XMLSchema" xmlns:xs="http://www.w3.org/2001/XMLSchema" xmlns:p="http://schemas.microsoft.com/office/2006/metadata/properties" xmlns:ns2="8187939b-35a5-42b1-a9c5-952090d01919" xmlns:ns3="23e0d390-b750-498a-887a-6d96eb8cf33b" xmlns:ns4="02d12187-754c-41a9-9e93-c3e1cfacc155" targetNamespace="http://schemas.microsoft.com/office/2006/metadata/properties" ma:root="true" ma:fieldsID="6c451168dd67647a0960917b86d249e8" ns2:_="" ns3:_="" ns4:_="">
    <xsd:import namespace="8187939b-35a5-42b1-a9c5-952090d01919"/>
    <xsd:import namespace="23e0d390-b750-498a-887a-6d96eb8cf33b"/>
    <xsd:import namespace="02d12187-754c-41a9-9e93-c3e1cfacc1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87939b-35a5-42b1-a9c5-952090d01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e0d390-b750-498a-887a-6d96eb8cf33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d12187-754c-41a9-9e93-c3e1cfacc1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e522157-f47d-4289-8be9-7cb256ab45d4}" ma:internalName="TaxCatchAll" ma:showField="CatchAllData" ma:web="23e0d390-b750-498a-887a-6d96eb8cf3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87939b-35a5-42b1-a9c5-952090d01919">
      <Terms xmlns="http://schemas.microsoft.com/office/infopath/2007/PartnerControls"/>
    </lcf76f155ced4ddcb4097134ff3c332f>
    <TaxCatchAll xmlns="02d12187-754c-41a9-9e93-c3e1cfacc155" xsi:nil="true"/>
  </documentManagement>
</p:properties>
</file>

<file path=customXml/itemProps1.xml><?xml version="1.0" encoding="utf-8"?>
<ds:datastoreItem xmlns:ds="http://schemas.openxmlformats.org/officeDocument/2006/customXml" ds:itemID="{315754C1-3572-41B8-9B06-BB789A305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87939b-35a5-42b1-a9c5-952090d01919"/>
    <ds:schemaRef ds:uri="23e0d390-b750-498a-887a-6d96eb8cf33b"/>
    <ds:schemaRef ds:uri="02d12187-754c-41a9-9e93-c3e1cfacc1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3E64AC-F8C3-4FFF-B7B7-A74E672DCDDB}">
  <ds:schemaRefs>
    <ds:schemaRef ds:uri="http://schemas.microsoft.com/sharepoint/v3/contenttype/forms"/>
  </ds:schemaRefs>
</ds:datastoreItem>
</file>

<file path=customXml/itemProps3.xml><?xml version="1.0" encoding="utf-8"?>
<ds:datastoreItem xmlns:ds="http://schemas.openxmlformats.org/officeDocument/2006/customXml" ds:itemID="{A76E9505-ACF6-460D-9152-708207C243CA}">
  <ds:schemaRefs>
    <ds:schemaRef ds:uri="http://schemas.microsoft.com/office/2006/metadata/properties"/>
    <ds:schemaRef ds:uri="http://schemas.microsoft.com/office/infopath/2007/PartnerControls"/>
    <ds:schemaRef ds:uri="8187939b-35a5-42b1-a9c5-952090d01919"/>
    <ds:schemaRef ds:uri="02d12187-754c-41a9-9e93-c3e1cfacc155"/>
  </ds:schemaRefs>
</ds:datastoreItem>
</file>

<file path=docProps/app.xml><?xml version="1.0" encoding="utf-8"?>
<Properties xmlns="http://schemas.openxmlformats.org/officeDocument/2006/extended-properties" xmlns:vt="http://schemas.openxmlformats.org/officeDocument/2006/docPropsVTypes">
  <Template>Stationary Template for Global Users</Template>
  <TotalTime>0</TotalTime>
  <Pages>3</Pages>
  <Words>907</Words>
  <Characters>5170</Characters>
  <Application>Microsoft Office Word</Application>
  <DocSecurity>0</DocSecurity>
  <Lines>43</Lines>
  <Paragraphs>12</Paragraphs>
  <ScaleCrop>false</ScaleCrop>
  <Company>Citigroup</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Zdrodowski</dc:creator>
  <cp:keywords/>
  <cp:lastModifiedBy>Michelle Zdrodowski</cp:lastModifiedBy>
  <cp:revision>2</cp:revision>
  <cp:lastPrinted>2019-07-17T22:57:00Z</cp:lastPrinted>
  <dcterms:created xsi:type="dcterms:W3CDTF">2023-02-22T20:31:00Z</dcterms:created>
  <dcterms:modified xsi:type="dcterms:W3CDTF">2023-02-22T20:31:00Z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0x010100309C1A7E36D121468607C999A2D1288A</vt:lpwstr>
  </property>
  <property fmtid="{D5CDD505-2E9C-101B-9397-08002B2CF9AE}" pid="3" name="Order">
    <vt:r8>3900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